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76" w:rsidRDefault="00A87E24">
      <w:pPr>
        <w:jc w:val="center"/>
      </w:pPr>
      <w:bookmarkStart w:id="0" w:name="_GoBack"/>
      <w:bookmarkEnd w:id="0"/>
      <w:r>
        <w:rPr>
          <w:b/>
        </w:rPr>
        <w:t>INTERGOVERNMENTAL AGREEMENT</w:t>
      </w:r>
    </w:p>
    <w:p w:rsidR="00B86C76" w:rsidRPr="00AD1A73" w:rsidRDefault="00AD1A73">
      <w:pPr>
        <w:jc w:val="center"/>
        <w:rPr>
          <w:b/>
        </w:rPr>
      </w:pPr>
      <w:r w:rsidRPr="00AD1A73">
        <w:rPr>
          <w:b/>
        </w:rPr>
        <w:t>STAFFORD URBAN RESERVE AREAS</w:t>
      </w:r>
    </w:p>
    <w:p w:rsidR="00B86C76" w:rsidRDefault="00B86C76"/>
    <w:p w:rsidR="00B86C76" w:rsidRDefault="00B86C76" w:rsidP="00B86C76">
      <w:pPr>
        <w:ind w:firstLine="720"/>
        <w:jc w:val="both"/>
      </w:pPr>
      <w:r>
        <w:t xml:space="preserve">THIS </w:t>
      </w:r>
      <w:r w:rsidR="00A87E24">
        <w:t xml:space="preserve">INTERGOVERNMENTAL AGREEMENT </w:t>
      </w:r>
      <w:r w:rsidR="00CA14A7">
        <w:t xml:space="preserve">("Agreement") </w:t>
      </w:r>
      <w:r w:rsidR="00A87E24">
        <w:t>is made this ____ day of</w:t>
      </w:r>
      <w:r>
        <w:t xml:space="preserve"> </w:t>
      </w:r>
      <w:r w:rsidR="006D49D8">
        <w:t xml:space="preserve">May </w:t>
      </w:r>
      <w:r>
        <w:t>2017, by Clackamas County (“County</w:t>
      </w:r>
      <w:r w:rsidR="00BB6083">
        <w:t>”)</w:t>
      </w:r>
      <w:r w:rsidR="00AD1A73">
        <w:t xml:space="preserve">, </w:t>
      </w:r>
      <w:r w:rsidR="00BB6083">
        <w:t>Metro</w:t>
      </w:r>
      <w:r w:rsidR="00AD1A73">
        <w:t>, the City of Lake Oswego, the City of Tualatin, and the City of West Linn</w:t>
      </w:r>
      <w:r w:rsidR="00515DE2">
        <w:t xml:space="preserve"> (</w:t>
      </w:r>
      <w:r w:rsidR="00CD219C">
        <w:t xml:space="preserve">individually a "City", collectively </w:t>
      </w:r>
      <w:r w:rsidR="00515DE2">
        <w:t>the "Cities")</w:t>
      </w:r>
      <w:r w:rsidR="00BB6083">
        <w:t xml:space="preserve"> (together the “</w:t>
      </w:r>
      <w:r w:rsidR="00AD1A73">
        <w:t>Parties</w:t>
      </w:r>
      <w:r>
        <w:t>”)</w:t>
      </w:r>
      <w:r w:rsidR="00AD1A73">
        <w:t xml:space="preserve">.  </w:t>
      </w:r>
      <w:r w:rsidR="00CB0417">
        <w:t xml:space="preserve">This </w:t>
      </w:r>
      <w:r w:rsidR="00302619">
        <w:t xml:space="preserve">is an addendum to the </w:t>
      </w:r>
      <w:r w:rsidR="00424721">
        <w:t xml:space="preserve">Intergovernmental Agreement </w:t>
      </w:r>
      <w:r w:rsidR="00302619">
        <w:t xml:space="preserve">between Metro and Clackamas County </w:t>
      </w:r>
      <w:r w:rsidR="00CA14A7">
        <w:t xml:space="preserve">To </w:t>
      </w:r>
      <w:r w:rsidR="00515DE2">
        <w:t>Adopt Urban and Rural Reserves</w:t>
      </w:r>
      <w:r w:rsidR="00CA14A7">
        <w:t xml:space="preserve"> entered into </w:t>
      </w:r>
      <w:r w:rsidR="00302619">
        <w:t xml:space="preserve">pursuant to ORS 195.141 and ORS 190.010 to 190.110 </w:t>
      </w:r>
      <w:r w:rsidR="00515DE2">
        <w:t xml:space="preserve">and </w:t>
      </w:r>
      <w:r w:rsidR="00424721">
        <w:t>date</w:t>
      </w:r>
      <w:r w:rsidR="003E3545">
        <w:t>d</w:t>
      </w:r>
      <w:r w:rsidR="00CB0417">
        <w:t xml:space="preserve"> March 3, 2010</w:t>
      </w:r>
      <w:r w:rsidR="00CA14A7">
        <w:t xml:space="preserve"> ("Reserves IGA")</w:t>
      </w:r>
      <w:r w:rsidR="001B5306">
        <w:t>.</w:t>
      </w:r>
    </w:p>
    <w:p w:rsidR="00B86C76" w:rsidRDefault="00B86C76">
      <w:pPr>
        <w:jc w:val="both"/>
      </w:pPr>
    </w:p>
    <w:p w:rsidR="00B86C76" w:rsidRDefault="00B86C76">
      <w:pPr>
        <w:keepNext/>
        <w:spacing w:after="240"/>
        <w:jc w:val="center"/>
      </w:pPr>
      <w:r>
        <w:rPr>
          <w:b/>
        </w:rPr>
        <w:t>RECITALS</w:t>
      </w:r>
    </w:p>
    <w:p w:rsidR="00B86C76" w:rsidRDefault="00B86C76" w:rsidP="00BB6083">
      <w:pPr>
        <w:spacing w:after="240"/>
        <w:ind w:left="360" w:hanging="360"/>
      </w:pPr>
      <w:r>
        <w:t>1.</w:t>
      </w:r>
      <w:r>
        <w:tab/>
        <w:t xml:space="preserve">The </w:t>
      </w:r>
      <w:r w:rsidR="00BB6083">
        <w:t xml:space="preserve">Metro Council and the Clackamas County Commission are working together to finalize the designation of urban and rural reserves by adopting findings in support of the decisions made by </w:t>
      </w:r>
      <w:r w:rsidR="00422BB9">
        <w:t xml:space="preserve">Metro, Clackamas County, Multnomah County, and Washington County </w:t>
      </w:r>
      <w:r w:rsidR="00BB6083">
        <w:t>in 2010</w:t>
      </w:r>
      <w:r>
        <w:t>;</w:t>
      </w:r>
    </w:p>
    <w:p w:rsidR="00D76753" w:rsidRDefault="00D76753" w:rsidP="00BB6083">
      <w:pPr>
        <w:spacing w:after="240"/>
        <w:ind w:left="360" w:hanging="360"/>
      </w:pPr>
      <w:r>
        <w:t>2.</w:t>
      </w:r>
      <w:r>
        <w:tab/>
        <w:t>Under state law, Metro and the three counties in the region are tasked with identifying those areas adjacent to the existing urban growth boundary (UGB) that are best suited for providing land to accommodate urban growth in the region over the next 40 to 50 years;</w:t>
      </w:r>
    </w:p>
    <w:p w:rsidR="007F715A" w:rsidRDefault="00752152" w:rsidP="0001131F">
      <w:pPr>
        <w:spacing w:after="240"/>
        <w:ind w:left="360" w:hanging="360"/>
      </w:pPr>
      <w:r>
        <w:t>3</w:t>
      </w:r>
      <w:r w:rsidR="00BB6083">
        <w:t>.</w:t>
      </w:r>
      <w:r w:rsidR="00BB6083">
        <w:tab/>
        <w:t xml:space="preserve">The Cities </w:t>
      </w:r>
      <w:r w:rsidR="001B5306">
        <w:t xml:space="preserve">have </w:t>
      </w:r>
      <w:r w:rsidR="00422BB9">
        <w:t xml:space="preserve">long </w:t>
      </w:r>
      <w:r w:rsidR="001B5306">
        <w:t>opposed the</w:t>
      </w:r>
      <w:r w:rsidR="00BB6083">
        <w:t xml:space="preserve"> des</w:t>
      </w:r>
      <w:r w:rsidR="00422BB9">
        <w:t>ignatio</w:t>
      </w:r>
      <w:r w:rsidR="00583775">
        <w:t>n of</w:t>
      </w:r>
      <w:r w:rsidR="00422BB9">
        <w:t xml:space="preserve"> </w:t>
      </w:r>
      <w:r w:rsidR="00583775">
        <w:t xml:space="preserve">Metro study </w:t>
      </w:r>
      <w:r w:rsidR="00422BB9">
        <w:t>areas 4A, 4B, 4C</w:t>
      </w:r>
      <w:r w:rsidR="00917DF7">
        <w:t xml:space="preserve"> and</w:t>
      </w:r>
      <w:r w:rsidR="00422BB9">
        <w:t xml:space="preserve"> </w:t>
      </w:r>
      <w:r w:rsidR="00422BB9" w:rsidRPr="007F715A">
        <w:t>4D</w:t>
      </w:r>
      <w:r w:rsidR="00422BB9">
        <w:t xml:space="preserve"> </w:t>
      </w:r>
      <w:r w:rsidR="001B5306">
        <w:t xml:space="preserve">("Stafford") </w:t>
      </w:r>
      <w:r w:rsidR="00583775">
        <w:t xml:space="preserve">as urban reserve </w:t>
      </w:r>
      <w:r>
        <w:t>because</w:t>
      </w:r>
      <w:r w:rsidR="00380745">
        <w:t xml:space="preserve"> of concerns </w:t>
      </w:r>
      <w:r>
        <w:t xml:space="preserve"> </w:t>
      </w:r>
      <w:r w:rsidR="003E3545">
        <w:t xml:space="preserve">with regard to efficient use of existing and currently planned future public infrastructure investments and </w:t>
      </w:r>
      <w:r w:rsidR="0023220D">
        <w:t>whether urban level publ</w:t>
      </w:r>
      <w:r w:rsidR="004F20AC">
        <w:t>ic s</w:t>
      </w:r>
      <w:r w:rsidR="0023220D">
        <w:t>ervices can be efficiently and cost-effectively provide</w:t>
      </w:r>
      <w:r w:rsidR="000B4F50">
        <w:t>d</w:t>
      </w:r>
      <w:r w:rsidR="0023220D">
        <w:t xml:space="preserve"> by appropriate and financially capable service providers</w:t>
      </w:r>
      <w:r w:rsidR="00BB6083">
        <w:t xml:space="preserve">; </w:t>
      </w:r>
    </w:p>
    <w:p w:rsidR="00A20912" w:rsidRDefault="00A20912" w:rsidP="0001131F">
      <w:pPr>
        <w:spacing w:after="240"/>
        <w:ind w:left="360" w:hanging="360"/>
      </w:pPr>
      <w:r>
        <w:t>4.</w:t>
      </w:r>
      <w:r>
        <w:tab/>
        <w:t xml:space="preserve">The Parties recognize </w:t>
      </w:r>
      <w:r w:rsidR="00393852">
        <w:t xml:space="preserve">that resolving the dispute over the designation of Stafford </w:t>
      </w:r>
      <w:r w:rsidR="003C458D">
        <w:t xml:space="preserve">will enable the parties to focus </w:t>
      </w:r>
      <w:r w:rsidR="00422BB9">
        <w:t xml:space="preserve">collaboratively </w:t>
      </w:r>
      <w:r w:rsidR="003C458D">
        <w:t>on planning for</w:t>
      </w:r>
      <w:r w:rsidR="00393852">
        <w:t xml:space="preserve"> </w:t>
      </w:r>
      <w:r w:rsidR="007E02D3">
        <w:t>and providing</w:t>
      </w:r>
      <w:r w:rsidR="003C458D">
        <w:t xml:space="preserve"> </w:t>
      </w:r>
      <w:r w:rsidR="001E5E97">
        <w:t xml:space="preserve">urban </w:t>
      </w:r>
      <w:r w:rsidR="003C458D">
        <w:t xml:space="preserve">services and </w:t>
      </w:r>
      <w:r w:rsidR="00AB4ABC">
        <w:t>prioritizing the needed regional improvements to the transportation</w:t>
      </w:r>
      <w:r w:rsidR="00CB096E">
        <w:t xml:space="preserve"> system</w:t>
      </w:r>
      <w:r w:rsidR="00AB4ABC">
        <w:t xml:space="preserve">, such </w:t>
      </w:r>
      <w:r w:rsidR="000B4F50">
        <w:t xml:space="preserve">as </w:t>
      </w:r>
      <w:r w:rsidR="00AB4ABC">
        <w:t xml:space="preserve">the widening of I-205 from Oregon City to Stafford Road; </w:t>
      </w:r>
      <w:r>
        <w:t xml:space="preserve"> </w:t>
      </w:r>
    </w:p>
    <w:p w:rsidR="0001131F" w:rsidRPr="007B6B4B" w:rsidRDefault="00BC7F32" w:rsidP="0001131F">
      <w:pPr>
        <w:spacing w:after="240"/>
        <w:ind w:left="360" w:hanging="360"/>
      </w:pPr>
      <w:r>
        <w:t>5.</w:t>
      </w:r>
      <w:r>
        <w:tab/>
      </w:r>
      <w:r w:rsidR="00CE6DB6">
        <w:t xml:space="preserve">The Parties </w:t>
      </w:r>
      <w:r w:rsidR="0001131F">
        <w:t>enter into this IGA in order to alleviate the concerns</w:t>
      </w:r>
      <w:r w:rsidR="004B441D">
        <w:t xml:space="preserve"> of the Cities </w:t>
      </w:r>
      <w:r w:rsidR="00071D56">
        <w:t xml:space="preserve">and better support the designation of Stafford under the Factors </w:t>
      </w:r>
      <w:r w:rsidR="00212214">
        <w:t>by ensuring</w:t>
      </w:r>
      <w:r w:rsidR="00380745">
        <w:t xml:space="preserve"> </w:t>
      </w:r>
      <w:r w:rsidR="00212214">
        <w:t>an</w:t>
      </w:r>
      <w:r w:rsidR="004B441D">
        <w:t xml:space="preserve"> orderly process for </w:t>
      </w:r>
      <w:r w:rsidR="00A50147">
        <w:t xml:space="preserve">any </w:t>
      </w:r>
      <w:r w:rsidR="004B441D">
        <w:t>urbanization o</w:t>
      </w:r>
      <w:r w:rsidR="00BD7A54">
        <w:t>f Stafford where</w:t>
      </w:r>
      <w:r w:rsidR="00212214">
        <w:t xml:space="preserve"> the Cities </w:t>
      </w:r>
      <w:r w:rsidR="00BD7A54">
        <w:t xml:space="preserve">will </w:t>
      </w:r>
      <w:r w:rsidR="00212214">
        <w:t xml:space="preserve">have control over the planning, process and timing for the urbanization </w:t>
      </w:r>
      <w:r w:rsidR="0078558B">
        <w:t xml:space="preserve">of Stafford, </w:t>
      </w:r>
      <w:r w:rsidR="00212214">
        <w:t>that the Parties will coordinate with one another</w:t>
      </w:r>
      <w:r w:rsidR="00B906B7">
        <w:t xml:space="preserve"> and with any affected special districts serving Stafford on the effective date of this Agreement</w:t>
      </w:r>
      <w:r w:rsidR="00212214">
        <w:t xml:space="preserve">, and </w:t>
      </w:r>
      <w:r w:rsidR="00085950">
        <w:t>that Stafford will not be urbanized bef</w:t>
      </w:r>
      <w:r w:rsidR="005E3B52">
        <w:t>ore appropriate</w:t>
      </w:r>
      <w:r w:rsidR="00085950">
        <w:t xml:space="preserve"> urban services </w:t>
      </w:r>
      <w:r w:rsidR="00564ECD">
        <w:t xml:space="preserve">will be </w:t>
      </w:r>
      <w:r w:rsidR="00085950">
        <w:t>available</w:t>
      </w:r>
      <w:r w:rsidR="00BD7A54">
        <w:t>; and</w:t>
      </w:r>
      <w:r w:rsidR="00212214">
        <w:t xml:space="preserve"> </w:t>
      </w:r>
      <w:r w:rsidR="004B441D">
        <w:t xml:space="preserve"> </w:t>
      </w:r>
    </w:p>
    <w:p w:rsidR="00770A2A" w:rsidRDefault="00BC7F32" w:rsidP="00BB6083">
      <w:pPr>
        <w:spacing w:after="240"/>
        <w:ind w:left="360" w:hanging="360"/>
      </w:pPr>
      <w:r>
        <w:t>6</w:t>
      </w:r>
      <w:r w:rsidR="00085950">
        <w:t>.</w:t>
      </w:r>
      <w:r w:rsidR="00085950">
        <w:tab/>
      </w:r>
      <w:r w:rsidR="00770A2A" w:rsidRPr="007B6B4B">
        <w:t xml:space="preserve">The </w:t>
      </w:r>
      <w:r w:rsidR="00085950">
        <w:t>Parties also desire to recognize</w:t>
      </w:r>
      <w:r w:rsidR="00770A2A" w:rsidRPr="007B6B4B">
        <w:t xml:space="preserve"> that the Stafford Hamlet and surrounding area is a unique enclave in Clackamas County</w:t>
      </w:r>
      <w:r w:rsidR="009305CE">
        <w:t xml:space="preserve"> that has a long standing agricultural heritage, significant environmental assets</w:t>
      </w:r>
      <w:r w:rsidR="00CA14A7">
        <w:t>,</w:t>
      </w:r>
      <w:r w:rsidR="009305CE">
        <w:t xml:space="preserve"> and valued o</w:t>
      </w:r>
      <w:r w:rsidR="005D3602">
        <w:t xml:space="preserve">pen space </w:t>
      </w:r>
      <w:r w:rsidR="00B02ADB">
        <w:t>that should be preserved</w:t>
      </w:r>
      <w:r w:rsidR="00564ECD">
        <w:t xml:space="preserve"> through the concept planning process</w:t>
      </w:r>
      <w:r w:rsidR="00770A2A" w:rsidRPr="007B6B4B">
        <w:t>;</w:t>
      </w:r>
    </w:p>
    <w:p w:rsidR="00B86C76" w:rsidRDefault="00B86C76" w:rsidP="00D348EC">
      <w:pPr>
        <w:spacing w:after="240"/>
        <w:ind w:firstLine="360"/>
      </w:pPr>
      <w:r>
        <w:t>NOW, THEREFORE, it is mutually agreed that the Parties voluntarily ente</w:t>
      </w:r>
      <w:r w:rsidR="00D348EC">
        <w:t xml:space="preserve">r into this </w:t>
      </w:r>
      <w:r w:rsidR="009305CE">
        <w:t xml:space="preserve">Intergovernmental Agreement </w:t>
      </w:r>
      <w:r w:rsidR="00D348EC">
        <w:t>addressing issues and concerns raised by the Cities regarding the designation of Stafford as an urban reserve. Specifically, the Parties a</w:t>
      </w:r>
      <w:r w:rsidR="00A564AB">
        <w:t>gree as follows</w:t>
      </w:r>
      <w:r w:rsidR="00D348EC">
        <w:t>:</w:t>
      </w:r>
    </w:p>
    <w:p w:rsidR="00105061" w:rsidRDefault="00D348EC" w:rsidP="00514901">
      <w:pPr>
        <w:pStyle w:val="ListParagraph"/>
        <w:numPr>
          <w:ilvl w:val="0"/>
          <w:numId w:val="3"/>
        </w:numPr>
        <w:spacing w:after="240"/>
      </w:pPr>
      <w:r w:rsidRPr="00514901">
        <w:rPr>
          <w:b/>
        </w:rPr>
        <w:lastRenderedPageBreak/>
        <w:t>City Governance</w:t>
      </w:r>
      <w:r>
        <w:t xml:space="preserve">. </w:t>
      </w:r>
      <w:r w:rsidR="00105061">
        <w:t xml:space="preserve"> </w:t>
      </w:r>
      <w:r>
        <w:t>The Par</w:t>
      </w:r>
      <w:r w:rsidR="00C64083">
        <w:t xml:space="preserve">ties agree that Stafford will </w:t>
      </w:r>
      <w:r w:rsidR="00841282">
        <w:t>be governed by</w:t>
      </w:r>
      <w:r>
        <w:t xml:space="preserve"> </w:t>
      </w:r>
      <w:r w:rsidR="00CD219C">
        <w:t xml:space="preserve">one or more </w:t>
      </w:r>
      <w:r w:rsidR="000B4F50">
        <w:t xml:space="preserve">of </w:t>
      </w:r>
      <w:r>
        <w:t>the Cities</w:t>
      </w:r>
      <w:r w:rsidR="00C64083">
        <w:t xml:space="preserve"> upon expansion of the urban growth boundary and annexation</w:t>
      </w:r>
      <w:r w:rsidR="007170F0">
        <w:t>.</w:t>
      </w:r>
      <w:r w:rsidR="00380745">
        <w:t xml:space="preserve"> </w:t>
      </w:r>
      <w:r w:rsidR="00E01C59">
        <w:t xml:space="preserve"> The governing </w:t>
      </w:r>
      <w:r w:rsidR="007170F0">
        <w:t>C</w:t>
      </w:r>
      <w:r w:rsidR="00E01C59">
        <w:t>ity</w:t>
      </w:r>
      <w:r>
        <w:t xml:space="preserve"> </w:t>
      </w:r>
      <w:r w:rsidR="00C64083">
        <w:t>will have</w:t>
      </w:r>
      <w:r>
        <w:t xml:space="preserve"> the authority to decide what land uses should be planned for, and when and how municipal servic</w:t>
      </w:r>
      <w:r w:rsidR="00BB4FFC">
        <w:t xml:space="preserve">es will be provided. </w:t>
      </w:r>
      <w:r w:rsidR="008E43D8">
        <w:t>Notwithstanding</w:t>
      </w:r>
      <w:r w:rsidR="000F5418">
        <w:t xml:space="preserve"> </w:t>
      </w:r>
      <w:r w:rsidR="0070161C">
        <w:t xml:space="preserve">anything to the contrary in </w:t>
      </w:r>
      <w:r w:rsidR="00741E1C">
        <w:t xml:space="preserve">the </w:t>
      </w:r>
      <w:r w:rsidR="000F5418">
        <w:t>Reserves IGA</w:t>
      </w:r>
      <w:r w:rsidR="00F01B06">
        <w:t>,</w:t>
      </w:r>
      <w:r w:rsidR="000F5418">
        <w:t xml:space="preserve"> Exhibit B, Section 4, </w:t>
      </w:r>
      <w:r w:rsidR="00A16AB9">
        <w:t xml:space="preserve">or Metro Code Sections </w:t>
      </w:r>
      <w:r w:rsidR="00A16AB9" w:rsidRPr="007170F0">
        <w:t>3.07.1105 to 3.07.1130</w:t>
      </w:r>
      <w:r w:rsidR="00A16AB9">
        <w:t xml:space="preserve"> ("Title 11"),</w:t>
      </w:r>
      <w:r w:rsidR="008E43D8">
        <w:t xml:space="preserve"> </w:t>
      </w:r>
      <w:r w:rsidR="00770A2A">
        <w:t>Met</w:t>
      </w:r>
      <w:r w:rsidR="00BB4FFC">
        <w:t>ro and the County</w:t>
      </w:r>
      <w:r>
        <w:t xml:space="preserve"> will oppose any future effort to incorporate a new city</w:t>
      </w:r>
      <w:r w:rsidR="00A50147">
        <w:t>.  Metro and the County will similarly oppose creation of any</w:t>
      </w:r>
      <w:r>
        <w:t xml:space="preserve"> service district t</w:t>
      </w:r>
      <w:r w:rsidR="00EA26D0">
        <w:t>o provide</w:t>
      </w:r>
      <w:r w:rsidR="00B9438B">
        <w:t xml:space="preserve"> </w:t>
      </w:r>
      <w:r w:rsidR="00441C14">
        <w:t>water or sanitary sewer services</w:t>
      </w:r>
      <w:r w:rsidR="00EA26D0">
        <w:t xml:space="preserve"> in Stafford</w:t>
      </w:r>
      <w:r w:rsidR="00B9438B">
        <w:t xml:space="preserve"> outside of a city</w:t>
      </w:r>
      <w:r w:rsidR="00613B6F">
        <w:t xml:space="preserve">, unless </w:t>
      </w:r>
      <w:r w:rsidR="00F07686">
        <w:t xml:space="preserve">there is no practicable alternative to </w:t>
      </w:r>
      <w:r w:rsidR="00613B6F">
        <w:t xml:space="preserve">creation or expansion of a sewer district </w:t>
      </w:r>
      <w:r w:rsidR="002A2156">
        <w:t xml:space="preserve">in order </w:t>
      </w:r>
      <w:r w:rsidR="00613B6F">
        <w:t xml:space="preserve">to </w:t>
      </w:r>
      <w:r w:rsidR="00F07686">
        <w:t xml:space="preserve"> remediate a health hazard</w:t>
      </w:r>
      <w:r w:rsidR="008F270C">
        <w:t xml:space="preserve"> created by development in existence on the effective date of this IGA</w:t>
      </w:r>
      <w:r>
        <w:t>.</w:t>
      </w:r>
    </w:p>
    <w:p w:rsidR="004658E1" w:rsidRPr="002A1F93" w:rsidRDefault="004658E1" w:rsidP="002A1F93">
      <w:pPr>
        <w:pStyle w:val="ListParagraph"/>
        <w:rPr>
          <w:b/>
        </w:rPr>
      </w:pPr>
    </w:p>
    <w:p w:rsidR="00633D84" w:rsidRDefault="00105061" w:rsidP="0018249F">
      <w:pPr>
        <w:pStyle w:val="ListParagraph"/>
        <w:numPr>
          <w:ilvl w:val="0"/>
          <w:numId w:val="3"/>
        </w:numPr>
        <w:spacing w:after="240"/>
      </w:pPr>
      <w:r w:rsidRPr="0018249F">
        <w:rPr>
          <w:b/>
        </w:rPr>
        <w:t>Completion of a City Concept Plan</w:t>
      </w:r>
      <w:r>
        <w:t xml:space="preserve">.  </w:t>
      </w:r>
    </w:p>
    <w:p w:rsidR="00633D84" w:rsidRDefault="00633D84" w:rsidP="00633D84">
      <w:pPr>
        <w:pStyle w:val="ListParagraph"/>
        <w:spacing w:after="240"/>
        <w:ind w:left="1080"/>
      </w:pPr>
    </w:p>
    <w:p w:rsidR="0018249F" w:rsidRDefault="008F270C" w:rsidP="00633D84">
      <w:pPr>
        <w:pStyle w:val="ListParagraph"/>
        <w:numPr>
          <w:ilvl w:val="1"/>
          <w:numId w:val="3"/>
        </w:numPr>
        <w:spacing w:after="240"/>
      </w:pPr>
      <w:r>
        <w:t>The Parties recognize that the Cit</w:t>
      </w:r>
      <w:r w:rsidR="004F7689">
        <w:t xml:space="preserve">ies will be the public bodies </w:t>
      </w:r>
      <w:r>
        <w:t xml:space="preserve">that </w:t>
      </w:r>
      <w:r w:rsidR="004F7689">
        <w:t xml:space="preserve">have the responsibility to plan for </w:t>
      </w:r>
      <w:r w:rsidR="00B906B7">
        <w:t>any future</w:t>
      </w:r>
      <w:r w:rsidR="004F7689">
        <w:t xml:space="preserve"> urbanization of Stafford</w:t>
      </w:r>
      <w:r w:rsidR="00170E2F">
        <w:t xml:space="preserve"> and that </w:t>
      </w:r>
      <w:r w:rsidR="00F04E5B">
        <w:t>the</w:t>
      </w:r>
      <w:r w:rsidR="00170E2F">
        <w:t xml:space="preserve"> urbanization of S</w:t>
      </w:r>
      <w:r w:rsidR="00D970C4">
        <w:t>tafford will only occur</w:t>
      </w:r>
      <w:r w:rsidR="00170E2F">
        <w:t xml:space="preserve"> upon annexation </w:t>
      </w:r>
      <w:r w:rsidR="00D970C4">
        <w:t xml:space="preserve">to one or more of the </w:t>
      </w:r>
      <w:r w:rsidR="00170E2F">
        <w:t>Cities</w:t>
      </w:r>
      <w:r w:rsidR="00B906B7">
        <w:t xml:space="preserve">.  </w:t>
      </w:r>
      <w:r w:rsidR="00EA26D0">
        <w:t>P</w:t>
      </w:r>
      <w:r w:rsidR="00105061">
        <w:t xml:space="preserve">rior to adding any part of Stafford to the UGB, </w:t>
      </w:r>
      <w:r w:rsidR="007E02D3">
        <w:t>the</w:t>
      </w:r>
      <w:r w:rsidR="00411717">
        <w:t xml:space="preserve"> City </w:t>
      </w:r>
      <w:r w:rsidR="008B6D1B">
        <w:t xml:space="preserve">that </w:t>
      </w:r>
      <w:r w:rsidR="007E02D3">
        <w:t xml:space="preserve">will </w:t>
      </w:r>
      <w:r w:rsidR="008B6D1B">
        <w:t xml:space="preserve">be responsible for annexing </w:t>
      </w:r>
      <w:r w:rsidR="007E02D3">
        <w:t xml:space="preserve">that part of Stafford </w:t>
      </w:r>
      <w:r w:rsidR="00105061">
        <w:t xml:space="preserve">must </w:t>
      </w:r>
      <w:r w:rsidR="008B6D1B">
        <w:t xml:space="preserve">first </w:t>
      </w:r>
      <w:r w:rsidR="00EA26D0">
        <w:t xml:space="preserve">have </w:t>
      </w:r>
      <w:r w:rsidR="00105061">
        <w:t>develop</w:t>
      </w:r>
      <w:r w:rsidR="00EA26D0">
        <w:t>ed</w:t>
      </w:r>
      <w:r w:rsidR="00105061">
        <w:t xml:space="preserve"> a concept plan for</w:t>
      </w:r>
      <w:r w:rsidR="007E02D3">
        <w:t xml:space="preserve"> the area</w:t>
      </w:r>
      <w:r w:rsidR="00105061">
        <w:t xml:space="preserve"> describing how the area will be planned and developed after inclusion in the </w:t>
      </w:r>
      <w:r w:rsidR="00BB4FFC">
        <w:t xml:space="preserve">UGB. </w:t>
      </w:r>
      <w:r w:rsidR="00633D84">
        <w:t xml:space="preserve">The timing for commencement and completion of a concept plan will be up to the City.  </w:t>
      </w:r>
    </w:p>
    <w:p w:rsidR="004658E1" w:rsidRDefault="004658E1" w:rsidP="00D41487">
      <w:pPr>
        <w:pStyle w:val="ListParagraph"/>
        <w:spacing w:after="240"/>
        <w:ind w:left="1800"/>
      </w:pPr>
    </w:p>
    <w:p w:rsidR="004658E1" w:rsidRDefault="000528D8" w:rsidP="008D2796">
      <w:pPr>
        <w:pStyle w:val="ListParagraph"/>
        <w:numPr>
          <w:ilvl w:val="1"/>
          <w:numId w:val="3"/>
        </w:numPr>
        <w:spacing w:after="240"/>
      </w:pPr>
      <w:r w:rsidRPr="000528D8">
        <w:rPr>
          <w:szCs w:val="24"/>
        </w:rPr>
        <w:t xml:space="preserve">The Cities will coordinate concept planning with one another and with the County </w:t>
      </w:r>
      <w:r w:rsidR="002A3F96">
        <w:rPr>
          <w:szCs w:val="24"/>
        </w:rPr>
        <w:t xml:space="preserve">and special districts serving </w:t>
      </w:r>
      <w:r w:rsidR="00536E84">
        <w:rPr>
          <w:szCs w:val="24"/>
        </w:rPr>
        <w:t xml:space="preserve">Stafford on the effective date of this Agreement </w:t>
      </w:r>
      <w:r w:rsidRPr="000528D8">
        <w:rPr>
          <w:szCs w:val="24"/>
        </w:rPr>
        <w:t xml:space="preserve">to determine which City </w:t>
      </w:r>
      <w:r w:rsidR="00536E84">
        <w:rPr>
          <w:szCs w:val="24"/>
        </w:rPr>
        <w:t xml:space="preserve">or special district </w:t>
      </w:r>
      <w:r w:rsidRPr="000528D8">
        <w:rPr>
          <w:szCs w:val="24"/>
        </w:rPr>
        <w:t xml:space="preserve">is the appropriate urban services provider for each part of Stafford. The </w:t>
      </w:r>
      <w:r w:rsidR="006C0A0B">
        <w:rPr>
          <w:szCs w:val="24"/>
        </w:rPr>
        <w:t>P</w:t>
      </w:r>
      <w:r w:rsidRPr="000528D8">
        <w:rPr>
          <w:szCs w:val="24"/>
        </w:rPr>
        <w:t xml:space="preserve">arties agree </w:t>
      </w:r>
      <w:r w:rsidR="004B32F0">
        <w:rPr>
          <w:szCs w:val="24"/>
        </w:rPr>
        <w:t>to develop a preliminary concept plan</w:t>
      </w:r>
      <w:r w:rsidR="006C0A0B">
        <w:rPr>
          <w:szCs w:val="24"/>
        </w:rPr>
        <w:t xml:space="preserve"> </w:t>
      </w:r>
      <w:r w:rsidR="00EC5A35" w:rsidRPr="00D41487">
        <w:rPr>
          <w:szCs w:val="24"/>
        </w:rPr>
        <w:t>to</w:t>
      </w:r>
      <w:r w:rsidR="00EC5A35" w:rsidRPr="00D41487">
        <w:rPr>
          <w:spacing w:val="11"/>
          <w:szCs w:val="24"/>
        </w:rPr>
        <w:t xml:space="preserve"> </w:t>
      </w:r>
      <w:r w:rsidR="00EC5A35" w:rsidRPr="00D41487">
        <w:rPr>
          <w:szCs w:val="24"/>
        </w:rPr>
        <w:t>address</w:t>
      </w:r>
      <w:r w:rsidR="00EC5A35" w:rsidRPr="00D41487">
        <w:rPr>
          <w:w w:val="103"/>
          <w:szCs w:val="24"/>
        </w:rPr>
        <w:t xml:space="preserve"> </w:t>
      </w:r>
      <w:r w:rsidR="00EC5A35" w:rsidRPr="00D41487">
        <w:rPr>
          <w:szCs w:val="24"/>
        </w:rPr>
        <w:t>transportation,</w:t>
      </w:r>
      <w:r w:rsidR="00EC5A35" w:rsidRPr="00D41487">
        <w:rPr>
          <w:spacing w:val="38"/>
          <w:szCs w:val="24"/>
        </w:rPr>
        <w:t xml:space="preserve"> </w:t>
      </w:r>
      <w:r w:rsidR="00EC5A35" w:rsidRPr="00D41487">
        <w:rPr>
          <w:szCs w:val="24"/>
        </w:rPr>
        <w:t>density</w:t>
      </w:r>
      <w:r w:rsidR="006C0A0B">
        <w:rPr>
          <w:szCs w:val="24"/>
        </w:rPr>
        <w:t>, community character,</w:t>
      </w:r>
      <w:r w:rsidR="00EC5A35" w:rsidRPr="00D41487">
        <w:rPr>
          <w:spacing w:val="35"/>
          <w:szCs w:val="24"/>
        </w:rPr>
        <w:t xml:space="preserve"> </w:t>
      </w:r>
      <w:r w:rsidR="00EC5A35" w:rsidRPr="00D41487">
        <w:rPr>
          <w:szCs w:val="24"/>
        </w:rPr>
        <w:t>and</w:t>
      </w:r>
      <w:r w:rsidR="00EC5A35" w:rsidRPr="00D41487">
        <w:rPr>
          <w:spacing w:val="19"/>
          <w:szCs w:val="24"/>
        </w:rPr>
        <w:t xml:space="preserve"> </w:t>
      </w:r>
      <w:r w:rsidR="00EC5A35" w:rsidRPr="00D41487">
        <w:rPr>
          <w:szCs w:val="24"/>
        </w:rPr>
        <w:t>infrastructure</w:t>
      </w:r>
      <w:r w:rsidR="00EC5A35" w:rsidRPr="00D41487">
        <w:rPr>
          <w:spacing w:val="43"/>
          <w:szCs w:val="24"/>
        </w:rPr>
        <w:t xml:space="preserve"> </w:t>
      </w:r>
      <w:r w:rsidR="00EC5A35" w:rsidRPr="00D41487">
        <w:rPr>
          <w:szCs w:val="24"/>
        </w:rPr>
        <w:t>issues</w:t>
      </w:r>
      <w:r w:rsidR="00EC5A35" w:rsidRPr="00D41487">
        <w:rPr>
          <w:spacing w:val="24"/>
          <w:szCs w:val="24"/>
        </w:rPr>
        <w:t xml:space="preserve"> </w:t>
      </w:r>
      <w:r w:rsidR="00EC5A35" w:rsidRPr="00D41487">
        <w:rPr>
          <w:szCs w:val="24"/>
        </w:rPr>
        <w:t>to</w:t>
      </w:r>
      <w:r w:rsidR="00EC5A35" w:rsidRPr="00D41487">
        <w:rPr>
          <w:spacing w:val="9"/>
          <w:szCs w:val="24"/>
        </w:rPr>
        <w:t xml:space="preserve"> </w:t>
      </w:r>
      <w:r w:rsidR="00EC5A35" w:rsidRPr="00D41487">
        <w:rPr>
          <w:szCs w:val="24"/>
        </w:rPr>
        <w:t>help</w:t>
      </w:r>
      <w:r w:rsidR="00EC5A35" w:rsidRPr="00D41487">
        <w:rPr>
          <w:w w:val="105"/>
          <w:szCs w:val="24"/>
        </w:rPr>
        <w:t xml:space="preserve"> </w:t>
      </w:r>
      <w:r w:rsidR="00EC5A35" w:rsidRPr="00D41487">
        <w:rPr>
          <w:szCs w:val="24"/>
        </w:rPr>
        <w:t>ensure</w:t>
      </w:r>
      <w:r w:rsidR="00EC5A35" w:rsidRPr="00D41487">
        <w:rPr>
          <w:spacing w:val="12"/>
          <w:szCs w:val="24"/>
        </w:rPr>
        <w:t xml:space="preserve"> </w:t>
      </w:r>
      <w:r w:rsidR="00EC5A35" w:rsidRPr="00D41487">
        <w:rPr>
          <w:szCs w:val="24"/>
        </w:rPr>
        <w:t>th</w:t>
      </w:r>
      <w:r w:rsidR="00EC5A35" w:rsidRPr="00D41487">
        <w:rPr>
          <w:spacing w:val="-7"/>
          <w:szCs w:val="24"/>
        </w:rPr>
        <w:t>a</w:t>
      </w:r>
      <w:r w:rsidR="00EC5A35" w:rsidRPr="00D41487">
        <w:rPr>
          <w:szCs w:val="24"/>
        </w:rPr>
        <w:t>t</w:t>
      </w:r>
      <w:r w:rsidR="00EC5A35" w:rsidRPr="00D41487">
        <w:rPr>
          <w:spacing w:val="18"/>
          <w:szCs w:val="24"/>
        </w:rPr>
        <w:t xml:space="preserve"> </w:t>
      </w:r>
      <w:r w:rsidR="00EC5A35" w:rsidRPr="00D41487">
        <w:rPr>
          <w:szCs w:val="24"/>
        </w:rPr>
        <w:t>future,</w:t>
      </w:r>
      <w:r w:rsidR="00EC5A35" w:rsidRPr="00D41487">
        <w:rPr>
          <w:spacing w:val="21"/>
          <w:szCs w:val="24"/>
        </w:rPr>
        <w:t xml:space="preserve"> </w:t>
      </w:r>
      <w:r w:rsidR="00EC5A35" w:rsidRPr="00D41487">
        <w:rPr>
          <w:szCs w:val="24"/>
        </w:rPr>
        <w:t>more</w:t>
      </w:r>
      <w:r w:rsidR="00EC5A35" w:rsidRPr="00D41487">
        <w:rPr>
          <w:spacing w:val="36"/>
          <w:szCs w:val="24"/>
        </w:rPr>
        <w:t xml:space="preserve"> </w:t>
      </w:r>
      <w:r w:rsidR="00EC5A35" w:rsidRPr="00D41487">
        <w:rPr>
          <w:szCs w:val="24"/>
        </w:rPr>
        <w:t>detailed</w:t>
      </w:r>
      <w:r w:rsidR="00EC5A35" w:rsidRPr="00D41487">
        <w:rPr>
          <w:spacing w:val="30"/>
          <w:szCs w:val="24"/>
        </w:rPr>
        <w:t xml:space="preserve"> </w:t>
      </w:r>
      <w:r w:rsidR="00EC5A35" w:rsidRPr="00D41487">
        <w:rPr>
          <w:szCs w:val="24"/>
        </w:rPr>
        <w:t>sub-area</w:t>
      </w:r>
      <w:r w:rsidR="00EC5A35" w:rsidRPr="00D41487">
        <w:rPr>
          <w:spacing w:val="26"/>
          <w:szCs w:val="24"/>
        </w:rPr>
        <w:t xml:space="preserve"> </w:t>
      </w:r>
      <w:r w:rsidR="00EC5A35" w:rsidRPr="00D41487">
        <w:rPr>
          <w:szCs w:val="24"/>
        </w:rPr>
        <w:t>"concept</w:t>
      </w:r>
      <w:r w:rsidR="00EC5A35" w:rsidRPr="00D41487">
        <w:rPr>
          <w:spacing w:val="24"/>
          <w:szCs w:val="24"/>
        </w:rPr>
        <w:t xml:space="preserve"> </w:t>
      </w:r>
      <w:r w:rsidR="00EC5A35" w:rsidRPr="00D41487">
        <w:rPr>
          <w:szCs w:val="24"/>
        </w:rPr>
        <w:t>plan</w:t>
      </w:r>
      <w:r w:rsidR="00EC5A35" w:rsidRPr="00D41487">
        <w:rPr>
          <w:spacing w:val="2"/>
          <w:szCs w:val="24"/>
        </w:rPr>
        <w:t>s</w:t>
      </w:r>
      <w:r w:rsidR="00EC5A35" w:rsidRPr="00D41487">
        <w:rPr>
          <w:spacing w:val="6"/>
          <w:szCs w:val="24"/>
        </w:rPr>
        <w:t>"</w:t>
      </w:r>
      <w:r w:rsidR="0089630C">
        <w:rPr>
          <w:spacing w:val="6"/>
          <w:szCs w:val="24"/>
        </w:rPr>
        <w:t xml:space="preserve"> </w:t>
      </w:r>
      <w:r w:rsidR="00EC5A35" w:rsidRPr="00D41487">
        <w:rPr>
          <w:szCs w:val="24"/>
        </w:rPr>
        <w:t>can</w:t>
      </w:r>
      <w:r w:rsidR="006D49D8">
        <w:rPr>
          <w:spacing w:val="29"/>
          <w:szCs w:val="24"/>
        </w:rPr>
        <w:t xml:space="preserve"> </w:t>
      </w:r>
      <w:r w:rsidR="006D49D8">
        <w:rPr>
          <w:szCs w:val="24"/>
        </w:rPr>
        <w:t>be developed and co</w:t>
      </w:r>
      <w:r w:rsidR="00EC5A35" w:rsidRPr="00D41487">
        <w:rPr>
          <w:szCs w:val="24"/>
        </w:rPr>
        <w:t>ordinated. The parties</w:t>
      </w:r>
      <w:r w:rsidR="00EC5A35" w:rsidRPr="00D41487">
        <w:rPr>
          <w:rFonts w:eastAsiaTheme="minorHAnsi"/>
          <w:spacing w:val="19"/>
          <w:szCs w:val="24"/>
        </w:rPr>
        <w:t xml:space="preserve"> </w:t>
      </w:r>
      <w:r w:rsidR="00EC5A35" w:rsidRPr="00D41487">
        <w:rPr>
          <w:rFonts w:eastAsiaTheme="minorHAnsi"/>
          <w:szCs w:val="24"/>
        </w:rPr>
        <w:t>agree</w:t>
      </w:r>
      <w:r w:rsidR="00EC5A35" w:rsidRPr="00D41487">
        <w:rPr>
          <w:rFonts w:eastAsiaTheme="minorHAnsi"/>
          <w:spacing w:val="6"/>
          <w:szCs w:val="24"/>
        </w:rPr>
        <w:t xml:space="preserve"> </w:t>
      </w:r>
      <w:r w:rsidR="00EC5A35" w:rsidRPr="00D41487">
        <w:rPr>
          <w:rFonts w:eastAsiaTheme="minorHAnsi"/>
          <w:szCs w:val="24"/>
        </w:rPr>
        <w:t>to</w:t>
      </w:r>
      <w:r w:rsidR="00EC5A35" w:rsidRPr="00D41487">
        <w:rPr>
          <w:rFonts w:eastAsiaTheme="minorHAnsi"/>
          <w:spacing w:val="4"/>
          <w:szCs w:val="24"/>
        </w:rPr>
        <w:t xml:space="preserve"> </w:t>
      </w:r>
      <w:r w:rsidR="00EC5A35" w:rsidRPr="00D41487">
        <w:rPr>
          <w:rFonts w:eastAsiaTheme="minorHAnsi"/>
          <w:szCs w:val="24"/>
        </w:rPr>
        <w:t>participate</w:t>
      </w:r>
      <w:r w:rsidR="00EC5A35" w:rsidRPr="00D41487">
        <w:rPr>
          <w:rFonts w:eastAsiaTheme="minorHAnsi"/>
          <w:spacing w:val="46"/>
          <w:szCs w:val="24"/>
        </w:rPr>
        <w:t xml:space="preserve"> </w:t>
      </w:r>
      <w:r w:rsidR="00EC5A35" w:rsidRPr="00D41487">
        <w:rPr>
          <w:rFonts w:eastAsiaTheme="minorHAnsi"/>
          <w:szCs w:val="24"/>
        </w:rPr>
        <w:t>in</w:t>
      </w:r>
      <w:r w:rsidR="00EC5A35" w:rsidRPr="00D41487">
        <w:rPr>
          <w:rFonts w:eastAsiaTheme="minorHAnsi"/>
          <w:spacing w:val="5"/>
          <w:szCs w:val="24"/>
        </w:rPr>
        <w:t xml:space="preserve"> </w:t>
      </w:r>
      <w:r w:rsidR="00EC5A35" w:rsidRPr="00D41487">
        <w:rPr>
          <w:rFonts w:eastAsiaTheme="minorHAnsi"/>
          <w:szCs w:val="24"/>
        </w:rPr>
        <w:t>good</w:t>
      </w:r>
      <w:r w:rsidR="00EC5A35" w:rsidRPr="00D41487">
        <w:rPr>
          <w:rFonts w:eastAsiaTheme="minorHAnsi"/>
          <w:spacing w:val="14"/>
          <w:szCs w:val="24"/>
        </w:rPr>
        <w:t xml:space="preserve"> </w:t>
      </w:r>
      <w:r w:rsidR="00EC5A35" w:rsidRPr="00D41487">
        <w:rPr>
          <w:rFonts w:eastAsiaTheme="minorHAnsi"/>
          <w:szCs w:val="24"/>
        </w:rPr>
        <w:t>faith</w:t>
      </w:r>
      <w:r w:rsidR="00EC5A35" w:rsidRPr="00D41487">
        <w:rPr>
          <w:rFonts w:eastAsiaTheme="minorHAnsi"/>
          <w:spacing w:val="7"/>
          <w:szCs w:val="24"/>
        </w:rPr>
        <w:t xml:space="preserve"> </w:t>
      </w:r>
      <w:r w:rsidR="00EC5A35" w:rsidRPr="00D41487">
        <w:rPr>
          <w:rFonts w:eastAsiaTheme="minorHAnsi"/>
          <w:szCs w:val="24"/>
        </w:rPr>
        <w:t>in</w:t>
      </w:r>
      <w:r w:rsidR="00EC5A35" w:rsidRPr="00D41487">
        <w:rPr>
          <w:rFonts w:eastAsiaTheme="minorHAnsi"/>
          <w:spacing w:val="6"/>
          <w:szCs w:val="24"/>
        </w:rPr>
        <w:t xml:space="preserve"> </w:t>
      </w:r>
      <w:r w:rsidR="00EC5A35" w:rsidRPr="00D41487">
        <w:rPr>
          <w:rFonts w:eastAsiaTheme="minorHAnsi"/>
          <w:szCs w:val="24"/>
        </w:rPr>
        <w:t>future</w:t>
      </w:r>
      <w:r w:rsidR="00EC5A35" w:rsidRPr="00D41487">
        <w:rPr>
          <w:rFonts w:eastAsiaTheme="minorHAnsi"/>
          <w:spacing w:val="18"/>
          <w:szCs w:val="24"/>
        </w:rPr>
        <w:t xml:space="preserve"> </w:t>
      </w:r>
      <w:r w:rsidR="00EC5A35" w:rsidRPr="00D41487">
        <w:rPr>
          <w:rFonts w:eastAsiaTheme="minorHAnsi"/>
          <w:szCs w:val="24"/>
        </w:rPr>
        <w:t>planning</w:t>
      </w:r>
      <w:r w:rsidR="00EC5A35" w:rsidRPr="00D41487">
        <w:rPr>
          <w:rFonts w:eastAsiaTheme="minorHAnsi"/>
          <w:spacing w:val="30"/>
          <w:szCs w:val="24"/>
        </w:rPr>
        <w:t xml:space="preserve"> </w:t>
      </w:r>
      <w:r w:rsidR="00EC5A35" w:rsidRPr="00D41487">
        <w:rPr>
          <w:rFonts w:eastAsiaTheme="minorHAnsi"/>
          <w:szCs w:val="24"/>
        </w:rPr>
        <w:t>efforts</w:t>
      </w:r>
      <w:r w:rsidR="00EC5A35" w:rsidRPr="00D41487">
        <w:rPr>
          <w:rFonts w:eastAsiaTheme="minorHAnsi"/>
          <w:spacing w:val="4"/>
          <w:szCs w:val="24"/>
        </w:rPr>
        <w:t xml:space="preserve"> </w:t>
      </w:r>
      <w:r w:rsidR="00EC5A35" w:rsidRPr="00D41487">
        <w:rPr>
          <w:rFonts w:eastAsiaTheme="minorHAnsi"/>
          <w:szCs w:val="24"/>
        </w:rPr>
        <w:t>for</w:t>
      </w:r>
      <w:r w:rsidR="00EC5A35" w:rsidRPr="00D41487">
        <w:rPr>
          <w:rFonts w:eastAsiaTheme="minorHAnsi"/>
          <w:spacing w:val="-3"/>
          <w:szCs w:val="24"/>
        </w:rPr>
        <w:t xml:space="preserve"> </w:t>
      </w:r>
      <w:r w:rsidR="00EC5A35" w:rsidRPr="00D41487">
        <w:rPr>
          <w:rFonts w:eastAsiaTheme="minorHAnsi"/>
          <w:szCs w:val="24"/>
        </w:rPr>
        <w:t>St</w:t>
      </w:r>
      <w:r w:rsidR="00EC5A35" w:rsidRPr="00D41487">
        <w:rPr>
          <w:rFonts w:eastAsiaTheme="minorHAnsi"/>
          <w:spacing w:val="-19"/>
          <w:szCs w:val="24"/>
        </w:rPr>
        <w:t>a</w:t>
      </w:r>
      <w:r w:rsidR="00EC5A35" w:rsidRPr="00D41487">
        <w:rPr>
          <w:rFonts w:eastAsiaTheme="minorHAnsi"/>
          <w:szCs w:val="24"/>
        </w:rPr>
        <w:t>fford,</w:t>
      </w:r>
      <w:r w:rsidR="00EC5A35" w:rsidRPr="00D41487">
        <w:rPr>
          <w:rFonts w:eastAsiaTheme="minorHAnsi"/>
          <w:spacing w:val="31"/>
          <w:szCs w:val="24"/>
        </w:rPr>
        <w:t xml:space="preserve"> </w:t>
      </w:r>
      <w:r w:rsidR="00EC5A35" w:rsidRPr="00D41487">
        <w:rPr>
          <w:rFonts w:eastAsiaTheme="minorHAnsi"/>
          <w:szCs w:val="24"/>
        </w:rPr>
        <w:t>in</w:t>
      </w:r>
      <w:r w:rsidR="00EC5A35" w:rsidRPr="00D41487">
        <w:rPr>
          <w:rFonts w:eastAsiaTheme="minorHAnsi"/>
          <w:spacing w:val="5"/>
          <w:szCs w:val="24"/>
        </w:rPr>
        <w:t xml:space="preserve"> </w:t>
      </w:r>
      <w:r w:rsidR="00EC5A35" w:rsidRPr="00D41487">
        <w:rPr>
          <w:rFonts w:eastAsiaTheme="minorHAnsi"/>
          <w:szCs w:val="24"/>
        </w:rPr>
        <w:t>coordination</w:t>
      </w:r>
      <w:r w:rsidR="00EC5A35" w:rsidRPr="00D41487">
        <w:rPr>
          <w:rFonts w:eastAsiaTheme="minorHAnsi"/>
          <w:spacing w:val="34"/>
          <w:szCs w:val="24"/>
        </w:rPr>
        <w:t xml:space="preserve"> </w:t>
      </w:r>
      <w:r w:rsidR="00EC5A35" w:rsidRPr="00D41487">
        <w:rPr>
          <w:rFonts w:eastAsiaTheme="minorHAnsi"/>
          <w:szCs w:val="24"/>
        </w:rPr>
        <w:t>with</w:t>
      </w:r>
      <w:r w:rsidR="006D49D8">
        <w:rPr>
          <w:rFonts w:eastAsiaTheme="minorHAnsi"/>
          <w:szCs w:val="24"/>
        </w:rPr>
        <w:t xml:space="preserve"> each other</w:t>
      </w:r>
      <w:r w:rsidR="00A50147">
        <w:rPr>
          <w:rFonts w:eastAsiaTheme="minorHAnsi"/>
          <w:szCs w:val="24"/>
        </w:rPr>
        <w:t xml:space="preserve">, </w:t>
      </w:r>
      <w:r w:rsidR="006D49D8">
        <w:rPr>
          <w:rFonts w:eastAsiaTheme="minorHAnsi"/>
          <w:szCs w:val="24"/>
        </w:rPr>
        <w:t xml:space="preserve">and </w:t>
      </w:r>
      <w:r w:rsidR="00A50147">
        <w:rPr>
          <w:rFonts w:eastAsiaTheme="minorHAnsi"/>
          <w:szCs w:val="24"/>
        </w:rPr>
        <w:t xml:space="preserve">with </w:t>
      </w:r>
      <w:r w:rsidR="006D49D8">
        <w:rPr>
          <w:rFonts w:eastAsiaTheme="minorHAnsi"/>
          <w:szCs w:val="24"/>
        </w:rPr>
        <w:t>other</w:t>
      </w:r>
      <w:r w:rsidR="006D49D8">
        <w:rPr>
          <w:rFonts w:eastAsiaTheme="minorHAnsi"/>
          <w:spacing w:val="20"/>
          <w:szCs w:val="24"/>
        </w:rPr>
        <w:t xml:space="preserve"> </w:t>
      </w:r>
      <w:r w:rsidR="00EC5A35" w:rsidRPr="00D41487">
        <w:rPr>
          <w:rFonts w:eastAsiaTheme="minorHAnsi"/>
          <w:szCs w:val="24"/>
        </w:rPr>
        <w:t>public,</w:t>
      </w:r>
      <w:r w:rsidR="00EC5A35" w:rsidRPr="00D41487">
        <w:rPr>
          <w:rFonts w:eastAsiaTheme="minorHAnsi"/>
          <w:spacing w:val="28"/>
          <w:szCs w:val="24"/>
        </w:rPr>
        <w:t xml:space="preserve"> </w:t>
      </w:r>
      <w:r w:rsidR="00EC5A35" w:rsidRPr="00D41487">
        <w:rPr>
          <w:rFonts w:eastAsiaTheme="minorHAnsi"/>
          <w:szCs w:val="24"/>
        </w:rPr>
        <w:t>private</w:t>
      </w:r>
      <w:r w:rsidR="006C0A0B">
        <w:rPr>
          <w:rFonts w:eastAsiaTheme="minorHAnsi"/>
          <w:szCs w:val="24"/>
        </w:rPr>
        <w:t>,</w:t>
      </w:r>
      <w:r w:rsidR="00EC5A35" w:rsidRPr="00D41487">
        <w:rPr>
          <w:rFonts w:eastAsiaTheme="minorHAnsi"/>
          <w:w w:val="101"/>
          <w:szCs w:val="24"/>
        </w:rPr>
        <w:t xml:space="preserve"> </w:t>
      </w:r>
      <w:r w:rsidR="00EC5A35" w:rsidRPr="00D41487">
        <w:rPr>
          <w:rFonts w:eastAsiaTheme="minorHAnsi"/>
          <w:szCs w:val="24"/>
        </w:rPr>
        <w:t>and</w:t>
      </w:r>
      <w:r w:rsidR="00EC5A35" w:rsidRPr="00D41487">
        <w:rPr>
          <w:rFonts w:eastAsiaTheme="minorHAnsi"/>
          <w:spacing w:val="9"/>
          <w:szCs w:val="24"/>
        </w:rPr>
        <w:t xml:space="preserve"> </w:t>
      </w:r>
      <w:r w:rsidR="00EC5A35" w:rsidRPr="00D41487">
        <w:rPr>
          <w:rFonts w:eastAsiaTheme="minorHAnsi"/>
          <w:szCs w:val="24"/>
        </w:rPr>
        <w:t>community</w:t>
      </w:r>
      <w:r w:rsidR="00EC5A35" w:rsidRPr="00D41487">
        <w:rPr>
          <w:rFonts w:eastAsiaTheme="minorHAnsi"/>
          <w:spacing w:val="37"/>
          <w:szCs w:val="24"/>
        </w:rPr>
        <w:t xml:space="preserve"> </w:t>
      </w:r>
      <w:r w:rsidR="00EC5A35" w:rsidRPr="00AF46E7">
        <w:rPr>
          <w:rFonts w:eastAsiaTheme="minorHAnsi"/>
          <w:szCs w:val="24"/>
        </w:rPr>
        <w:t>stakeholders</w:t>
      </w:r>
      <w:r w:rsidR="004B32F0">
        <w:rPr>
          <w:rFonts w:eastAsiaTheme="minorHAnsi"/>
          <w:szCs w:val="24"/>
        </w:rPr>
        <w:t>.</w:t>
      </w:r>
      <w:r w:rsidRPr="000528D8">
        <w:rPr>
          <w:szCs w:val="24"/>
        </w:rPr>
        <w:t xml:space="preserve"> </w:t>
      </w:r>
      <w:r>
        <w:t xml:space="preserve"> </w:t>
      </w:r>
    </w:p>
    <w:p w:rsidR="00B813A6" w:rsidRDefault="00B813A6" w:rsidP="00093E30">
      <w:pPr>
        <w:pStyle w:val="ListParagraph"/>
        <w:spacing w:after="240"/>
        <w:ind w:left="2160" w:hanging="360"/>
      </w:pPr>
    </w:p>
    <w:p w:rsidR="007B6B4B" w:rsidRDefault="00B813A6" w:rsidP="007B6B4B">
      <w:pPr>
        <w:pStyle w:val="ListParagraph"/>
        <w:numPr>
          <w:ilvl w:val="1"/>
          <w:numId w:val="3"/>
        </w:numPr>
        <w:spacing w:after="240"/>
      </w:pPr>
      <w:r>
        <w:t xml:space="preserve">Each governing </w:t>
      </w:r>
      <w:r w:rsidR="006C0A0B">
        <w:t>C</w:t>
      </w:r>
      <w:r>
        <w:t>ity</w:t>
      </w:r>
      <w:r w:rsidR="005E7769">
        <w:t xml:space="preserve"> will</w:t>
      </w:r>
      <w:r w:rsidR="00770A2A" w:rsidRPr="007B6B4B">
        <w:t xml:space="preserve"> be responsible for determining the pace and timing of future development</w:t>
      </w:r>
      <w:r>
        <w:t xml:space="preserve"> within an area to be incorporated into the UGB</w:t>
      </w:r>
      <w:r w:rsidR="00A87E24">
        <w:t>.</w:t>
      </w:r>
      <w:r w:rsidR="00770A2A" w:rsidRPr="007B6B4B">
        <w:t xml:space="preserve"> </w:t>
      </w:r>
      <w:r w:rsidR="00A87E24">
        <w:t>T</w:t>
      </w:r>
      <w:r w:rsidR="00770A2A" w:rsidRPr="007B6B4B">
        <w:t>he form and character of development</w:t>
      </w:r>
      <w:r w:rsidR="00A87E24">
        <w:t xml:space="preserve"> will be determined through the concept planning process under Title 11</w:t>
      </w:r>
      <w:r w:rsidR="00FF6081">
        <w:t xml:space="preserve"> and Section 2 of this Agreement</w:t>
      </w:r>
      <w:r w:rsidR="00A87E24">
        <w:t xml:space="preserve">, </w:t>
      </w:r>
      <w:r w:rsidR="002B59B2">
        <w:t>and will</w:t>
      </w:r>
      <w:r w:rsidR="00AE7AD5" w:rsidRPr="007B6B4B">
        <w:t xml:space="preserve"> </w:t>
      </w:r>
      <w:r w:rsidR="00A05C22">
        <w:t xml:space="preserve">be </w:t>
      </w:r>
      <w:r w:rsidR="002B59B2">
        <w:t>consistent with community values and environmental requirements</w:t>
      </w:r>
      <w:r w:rsidR="00AE7AD5" w:rsidRPr="007B6B4B">
        <w:t xml:space="preserve">.  </w:t>
      </w:r>
    </w:p>
    <w:p w:rsidR="00A05C22" w:rsidRPr="007B6B4B" w:rsidRDefault="00A05C22" w:rsidP="00A05C22">
      <w:pPr>
        <w:pStyle w:val="ListParagraph"/>
        <w:spacing w:after="240"/>
        <w:ind w:left="1800"/>
      </w:pPr>
    </w:p>
    <w:p w:rsidR="00537F5E" w:rsidRDefault="002100A9" w:rsidP="006E5AB1">
      <w:pPr>
        <w:pStyle w:val="ListParagraph"/>
        <w:numPr>
          <w:ilvl w:val="1"/>
          <w:numId w:val="3"/>
        </w:numPr>
        <w:spacing w:after="240"/>
      </w:pPr>
      <w:r>
        <w:t xml:space="preserve">The County shall not amend the Comprehensive Plan or Zoning and Development Ordinance or the Comprehensive Plan Map or zoning designations: </w:t>
      </w:r>
    </w:p>
    <w:p w:rsidR="004658E1" w:rsidRDefault="004658E1" w:rsidP="00D41487">
      <w:pPr>
        <w:pStyle w:val="ListParagraph"/>
      </w:pPr>
    </w:p>
    <w:p w:rsidR="004658E1" w:rsidRDefault="002100A9" w:rsidP="00D41487">
      <w:pPr>
        <w:pStyle w:val="ListParagraph"/>
        <w:numPr>
          <w:ilvl w:val="2"/>
          <w:numId w:val="3"/>
        </w:numPr>
        <w:spacing w:after="240"/>
      </w:pPr>
      <w:r>
        <w:lastRenderedPageBreak/>
        <w:t>To allow within Urban Reserve areas, new uses that were not allowed on the date the Urban Reserve areas were designated,</w:t>
      </w:r>
      <w:r w:rsidR="00441C14">
        <w:t xml:space="preserve"> except those uses mandated by amendments to the Oregon Revised Statutes or Oregon Administrative Rules enacted after designation of Urban Reserves.  </w:t>
      </w:r>
    </w:p>
    <w:p w:rsidR="00AF46E7" w:rsidRDefault="00AF46E7" w:rsidP="00AF46E7">
      <w:pPr>
        <w:pStyle w:val="ListParagraph"/>
        <w:spacing w:after="240"/>
        <w:ind w:left="2520"/>
      </w:pPr>
    </w:p>
    <w:p w:rsidR="004658E1" w:rsidRDefault="002100A9" w:rsidP="002A1F93">
      <w:pPr>
        <w:pStyle w:val="ListParagraph"/>
        <w:numPr>
          <w:ilvl w:val="2"/>
          <w:numId w:val="3"/>
        </w:numPr>
        <w:spacing w:after="240"/>
      </w:pPr>
      <w:r>
        <w:t xml:space="preserve">To allow within Urban Reserve areas, the creation of new lots or parcels smaller than allowed on the date Urban Reserve areas were designated, </w:t>
      </w:r>
      <w:r w:rsidR="00441C14">
        <w:t xml:space="preserve">except as mandated by amendments to the Oregon Revised Statutes or Oregon Administrative Rules enacted after designation of Urban Reserves. </w:t>
      </w:r>
      <w:r w:rsidR="00441C14" w:rsidRPr="007B6B4B">
        <w:t xml:space="preserve"> </w:t>
      </w:r>
      <w:r w:rsidR="00770A2A" w:rsidRPr="007B6B4B">
        <w:t xml:space="preserve">The purpose of </w:t>
      </w:r>
      <w:r w:rsidR="004D73D6" w:rsidRPr="007B6B4B">
        <w:t xml:space="preserve">the </w:t>
      </w:r>
      <w:r w:rsidR="00770A2A" w:rsidRPr="007B6B4B">
        <w:t>designation is to preserve lands for potential future urban development, not to facilitate or expedite their development</w:t>
      </w:r>
      <w:r w:rsidR="009D2A3E">
        <w:t xml:space="preserve"> under County zoning</w:t>
      </w:r>
      <w:r w:rsidR="00770A2A" w:rsidRPr="007B6B4B">
        <w:t>.</w:t>
      </w:r>
    </w:p>
    <w:p w:rsidR="00AF46E7" w:rsidRDefault="00AF46E7" w:rsidP="00AF46E7">
      <w:pPr>
        <w:pStyle w:val="ListParagraph"/>
        <w:spacing w:after="240"/>
        <w:ind w:left="2520"/>
      </w:pPr>
    </w:p>
    <w:p w:rsidR="006E5AB1" w:rsidRDefault="00ED34A6" w:rsidP="00770A2A">
      <w:pPr>
        <w:pStyle w:val="ListParagraph"/>
        <w:numPr>
          <w:ilvl w:val="1"/>
          <w:numId w:val="3"/>
        </w:numPr>
        <w:spacing w:after="240"/>
      </w:pPr>
      <w:r>
        <w:t>Notwithstanding anything to the contrary in Met</w:t>
      </w:r>
      <w:r w:rsidRPr="006C0A0B">
        <w:t>ro Code 3.07.1110(d), M</w:t>
      </w:r>
      <w:r>
        <w:t>etro agrees that the concept plan or plan</w:t>
      </w:r>
      <w:r w:rsidR="00741E1C">
        <w:t xml:space="preserve">s developed pursuant to Section </w:t>
      </w:r>
      <w:r>
        <w:t>2</w:t>
      </w:r>
      <w:r w:rsidR="006A6565">
        <w:t xml:space="preserve"> </w:t>
      </w:r>
      <w:r w:rsidR="00741E1C">
        <w:t xml:space="preserve">of this Agreement </w:t>
      </w:r>
      <w:r w:rsidR="006A6565">
        <w:t>will be used to designate</w:t>
      </w:r>
      <w:r w:rsidR="0001737E">
        <w:t xml:space="preserve"> 2040 design types for Stafford and</w:t>
      </w:r>
      <w:r w:rsidR="006A6565">
        <w:t xml:space="preserve"> to develop conditions in the Metro ordinance that adds any Stafford t</w:t>
      </w:r>
      <w:r w:rsidR="0001737E">
        <w:t xml:space="preserve">erritory to the UGB.  The </w:t>
      </w:r>
      <w:r w:rsidR="006A6565">
        <w:t>Parties agree that the concept plans will govern amendments to the Cities and County comprehensive plans and land use regulations following addition of the area to the UGB.</w:t>
      </w:r>
    </w:p>
    <w:p w:rsidR="00942859" w:rsidRPr="007B6B4B" w:rsidRDefault="00942859" w:rsidP="00942859">
      <w:pPr>
        <w:pStyle w:val="ListParagraph"/>
        <w:spacing w:after="240"/>
        <w:ind w:left="1800"/>
      </w:pPr>
    </w:p>
    <w:p w:rsidR="00105061" w:rsidRDefault="00105061" w:rsidP="00942859">
      <w:pPr>
        <w:pStyle w:val="ListParagraph"/>
        <w:numPr>
          <w:ilvl w:val="0"/>
          <w:numId w:val="3"/>
        </w:numPr>
        <w:spacing w:after="240"/>
      </w:pPr>
      <w:r w:rsidRPr="000674EC">
        <w:rPr>
          <w:b/>
        </w:rPr>
        <w:t>Citizen Involvement</w:t>
      </w:r>
      <w:r>
        <w:t xml:space="preserve">.  </w:t>
      </w:r>
      <w:r w:rsidR="002B59B2">
        <w:t>The Parties</w:t>
      </w:r>
      <w:r w:rsidR="000674EC">
        <w:t xml:space="preserve"> agree that future decision-making regarding the timing and content of concept planning and the expansion of the UGB must involve the participation of citizens from the Stafford community</w:t>
      </w:r>
      <w:r w:rsidR="00366F26">
        <w:t xml:space="preserve">, as well as other stakeholders, </w:t>
      </w:r>
      <w:r w:rsidR="00A05C22">
        <w:t xml:space="preserve">and will take into account public testimony </w:t>
      </w:r>
      <w:r w:rsidR="0025710D">
        <w:t xml:space="preserve">about desired community character, preservation of natural features, and other community concerns </w:t>
      </w:r>
      <w:r w:rsidR="00A05C22">
        <w:t>when</w:t>
      </w:r>
      <w:r w:rsidR="00366F26">
        <w:t xml:space="preserve"> developing the concept plans. </w:t>
      </w:r>
    </w:p>
    <w:p w:rsidR="00942859" w:rsidRDefault="00942859" w:rsidP="00942859">
      <w:pPr>
        <w:pStyle w:val="ListParagraph"/>
        <w:spacing w:after="240"/>
        <w:ind w:left="1080"/>
      </w:pPr>
    </w:p>
    <w:p w:rsidR="00536E84" w:rsidRDefault="00335695" w:rsidP="00105061">
      <w:pPr>
        <w:pStyle w:val="ListParagraph"/>
        <w:numPr>
          <w:ilvl w:val="0"/>
          <w:numId w:val="3"/>
        </w:numPr>
        <w:spacing w:after="240"/>
      </w:pPr>
      <w:r w:rsidRPr="00D61E4C">
        <w:rPr>
          <w:b/>
        </w:rPr>
        <w:t>Urban Services Agreements</w:t>
      </w:r>
      <w:r>
        <w:t xml:space="preserve">.  </w:t>
      </w:r>
      <w:r w:rsidR="002A3F96">
        <w:t>At such point in time tha</w:t>
      </w:r>
      <w:r w:rsidR="000B4F50">
        <w:t>t</w:t>
      </w:r>
      <w:r w:rsidR="002A3F96">
        <w:t xml:space="preserve"> any portion of Stafford is included within the UGB, the City that is responsible for urbanization of that area will negotiate an</w:t>
      </w:r>
      <w:r w:rsidR="000B4F50">
        <w:t>d</w:t>
      </w:r>
      <w:r w:rsidR="002A3F96">
        <w:t xml:space="preserve"> enter into an urban services agreement pursuant to O</w:t>
      </w:r>
      <w:r w:rsidR="00EC2B67">
        <w:t xml:space="preserve">RS 195.065 with any special district that is providing services to </w:t>
      </w:r>
      <w:r w:rsidR="002A2156">
        <w:t xml:space="preserve">that area of </w:t>
      </w:r>
      <w:r w:rsidR="00EC2B67">
        <w:t>Stafford on the effective date of this Agreement</w:t>
      </w:r>
      <w:r w:rsidR="00B747EC">
        <w:t xml:space="preserve"> or that may be created thereafter pursuant to Section 1 of this Agreement</w:t>
      </w:r>
      <w:r w:rsidR="00EC2B67">
        <w:t>.</w:t>
      </w:r>
      <w:r w:rsidR="002A3F96">
        <w:t xml:space="preserve"> </w:t>
      </w:r>
    </w:p>
    <w:p w:rsidR="002A3F96" w:rsidRPr="00D61E4C" w:rsidRDefault="002A3F96" w:rsidP="00D61E4C">
      <w:pPr>
        <w:pStyle w:val="ListParagraph"/>
        <w:spacing w:after="240"/>
        <w:ind w:left="1080"/>
      </w:pPr>
    </w:p>
    <w:p w:rsidR="00942859" w:rsidRDefault="004F68CB" w:rsidP="00105061">
      <w:pPr>
        <w:pStyle w:val="ListParagraph"/>
        <w:numPr>
          <w:ilvl w:val="0"/>
          <w:numId w:val="3"/>
        </w:numPr>
        <w:spacing w:after="240"/>
      </w:pPr>
      <w:r w:rsidRPr="004F68CB">
        <w:rPr>
          <w:b/>
        </w:rPr>
        <w:t>Grant Funding for</w:t>
      </w:r>
      <w:r>
        <w:t xml:space="preserve"> </w:t>
      </w:r>
      <w:r w:rsidR="00BB4FFC" w:rsidRPr="004F68CB">
        <w:rPr>
          <w:b/>
        </w:rPr>
        <w:t>Transportation Planning</w:t>
      </w:r>
      <w:r w:rsidR="00BB4FFC">
        <w:t xml:space="preserve">.  Metro and the County </w:t>
      </w:r>
      <w:r w:rsidR="004A30C5">
        <w:t>will undertake</w:t>
      </w:r>
      <w:r w:rsidR="00BB4FFC">
        <w:t xml:space="preserve"> a transpo</w:t>
      </w:r>
      <w:r>
        <w:t>rtation planning project using the</w:t>
      </w:r>
      <w:r w:rsidR="00BB4FFC">
        <w:t xml:space="preserve"> $170,000 Community Planning and Development </w:t>
      </w:r>
      <w:r>
        <w:t>Grant from Metro to the County to study and plan</w:t>
      </w:r>
      <w:r w:rsidR="00BB4FFC">
        <w:t xml:space="preserve"> for transportation </w:t>
      </w:r>
      <w:r w:rsidR="00B44BA2">
        <w:t xml:space="preserve">and other public </w:t>
      </w:r>
      <w:r w:rsidR="00BB4FFC">
        <w:t>infrastruct</w:t>
      </w:r>
      <w:r>
        <w:t xml:space="preserve">ure </w:t>
      </w:r>
      <w:r w:rsidR="00A50147">
        <w:t xml:space="preserve">conditions and needs </w:t>
      </w:r>
      <w:r>
        <w:t>in the Stafford area. Work on this p</w:t>
      </w:r>
      <w:r w:rsidR="00BB4FFC">
        <w:t>lanning project</w:t>
      </w:r>
      <w:r>
        <w:t xml:space="preserve"> </w:t>
      </w:r>
      <w:r w:rsidR="00A50147">
        <w:t xml:space="preserve">is anticipated to </w:t>
      </w:r>
      <w:r>
        <w:t xml:space="preserve">begin once Metro and the County have finalized the decision on urban reserves. </w:t>
      </w:r>
    </w:p>
    <w:p w:rsidR="00942859" w:rsidRDefault="00942859" w:rsidP="00942859">
      <w:pPr>
        <w:pStyle w:val="ListParagraph"/>
        <w:spacing w:after="240"/>
        <w:ind w:left="1080"/>
      </w:pPr>
    </w:p>
    <w:p w:rsidR="00942859" w:rsidRDefault="004F68CB" w:rsidP="00105061">
      <w:pPr>
        <w:pStyle w:val="ListParagraph"/>
        <w:numPr>
          <w:ilvl w:val="0"/>
          <w:numId w:val="3"/>
        </w:numPr>
        <w:spacing w:after="240"/>
      </w:pPr>
      <w:r w:rsidRPr="00942859">
        <w:rPr>
          <w:b/>
        </w:rPr>
        <w:t>Support for Widening I-205</w:t>
      </w:r>
      <w:r>
        <w:t xml:space="preserve">.  </w:t>
      </w:r>
      <w:r w:rsidR="00266CB9">
        <w:t>The Parties</w:t>
      </w:r>
      <w:r>
        <w:t xml:space="preserve"> agree to continue to support the </w:t>
      </w:r>
      <w:r w:rsidR="00226BE7">
        <w:t>Joint Policy Advisory Committee on Transportation</w:t>
      </w:r>
      <w:r w:rsidR="00A05C22">
        <w:t>'s</w:t>
      </w:r>
      <w:r w:rsidR="00226BE7">
        <w:t xml:space="preserve"> </w:t>
      </w:r>
      <w:r>
        <w:t>decision to make widening I-205 from Oregon City to Stafford Road a top priority for regional transportation projects</w:t>
      </w:r>
      <w:r w:rsidR="00266CB9">
        <w:t xml:space="preserve"> in order to help address the significan</w:t>
      </w:r>
      <w:r w:rsidR="00E4016C">
        <w:t>t transportation infrastructure</w:t>
      </w:r>
      <w:r w:rsidR="00266CB9">
        <w:t xml:space="preserve"> </w:t>
      </w:r>
      <w:r w:rsidR="0070161C">
        <w:t>issue</w:t>
      </w:r>
      <w:r w:rsidR="00226BE7">
        <w:t>s</w:t>
      </w:r>
      <w:r w:rsidR="0070161C">
        <w:t xml:space="preserve"> </w:t>
      </w:r>
      <w:r w:rsidR="00266CB9">
        <w:t>related to future urbanization of Stafford</w:t>
      </w:r>
      <w:r w:rsidR="009D2A3E">
        <w:t xml:space="preserve"> as well as other re</w:t>
      </w:r>
      <w:r w:rsidR="009D2A3E" w:rsidRPr="006C0A0B">
        <w:t>gional transportation needs</w:t>
      </w:r>
      <w:r w:rsidRPr="006C0A0B">
        <w:t>.</w:t>
      </w:r>
      <w:r>
        <w:t xml:space="preserve"> </w:t>
      </w:r>
    </w:p>
    <w:p w:rsidR="00942859" w:rsidRDefault="00942859" w:rsidP="00942859">
      <w:pPr>
        <w:pStyle w:val="ListParagraph"/>
        <w:spacing w:after="240"/>
        <w:ind w:left="1080"/>
      </w:pPr>
    </w:p>
    <w:p w:rsidR="00942859" w:rsidRDefault="00BA1C19" w:rsidP="00E35DFE">
      <w:pPr>
        <w:pStyle w:val="ListParagraph"/>
        <w:numPr>
          <w:ilvl w:val="0"/>
          <w:numId w:val="3"/>
        </w:numPr>
        <w:spacing w:after="240"/>
      </w:pPr>
      <w:r w:rsidRPr="00942859">
        <w:rPr>
          <w:b/>
        </w:rPr>
        <w:t>Transportation and Infrastructure Improvements</w:t>
      </w:r>
      <w:r w:rsidR="00AE7AD5" w:rsidRPr="00942859">
        <w:rPr>
          <w:b/>
        </w:rPr>
        <w:t xml:space="preserve">.  </w:t>
      </w:r>
      <w:r w:rsidR="00550295">
        <w:t xml:space="preserve">Urbanization and urban development will be planned to </w:t>
      </w:r>
      <w:r w:rsidR="00444B38">
        <w:t xml:space="preserve">coincide </w:t>
      </w:r>
      <w:r w:rsidR="00550295">
        <w:t xml:space="preserve">with transportation and infrastructure improvement </w:t>
      </w:r>
      <w:r w:rsidR="00444B38">
        <w:t>necessary to serve such development</w:t>
      </w:r>
      <w:r w:rsidR="00B85B2A" w:rsidRPr="007B6B4B">
        <w:t>.</w:t>
      </w:r>
      <w:r w:rsidR="00B85B2A">
        <w:t xml:space="preserve">  </w:t>
      </w:r>
    </w:p>
    <w:p w:rsidR="00942859" w:rsidRDefault="00942859" w:rsidP="00942859">
      <w:pPr>
        <w:pStyle w:val="ListParagraph"/>
        <w:spacing w:after="240"/>
        <w:ind w:left="1080"/>
      </w:pPr>
    </w:p>
    <w:p w:rsidR="00FA1BB5" w:rsidRPr="009E1099" w:rsidRDefault="00C83746" w:rsidP="00FA1BB5">
      <w:pPr>
        <w:pStyle w:val="ListParagraph"/>
        <w:numPr>
          <w:ilvl w:val="0"/>
          <w:numId w:val="3"/>
        </w:numPr>
        <w:spacing w:after="240"/>
      </w:pPr>
      <w:r w:rsidRPr="009E1099">
        <w:rPr>
          <w:b/>
        </w:rPr>
        <w:t>The Findings.</w:t>
      </w:r>
      <w:r w:rsidRPr="009E1099">
        <w:t xml:space="preserve">  </w:t>
      </w:r>
      <w:r w:rsidR="00071D56" w:rsidRPr="009E1099">
        <w:t>This IGA will be entered into the record of the Metro and Clackamas County proceedings on the remand of the 2010 Stafford urban reserve designation. The Metro and County rem</w:t>
      </w:r>
      <w:r w:rsidR="00741E1C" w:rsidRPr="009E1099">
        <w:t xml:space="preserve">and findings will cite this IGA as </w:t>
      </w:r>
      <w:r w:rsidR="00A05C22" w:rsidRPr="009E1099">
        <w:t>evidence necessary to meet the designation</w:t>
      </w:r>
      <w:r w:rsidR="00071D56" w:rsidRPr="009E1099">
        <w:t xml:space="preserve"> requirement under ORS 195.145(5)(c) and OAR 660-027-0050(3) </w:t>
      </w:r>
      <w:r w:rsidR="00A05C22" w:rsidRPr="009E1099">
        <w:t>that</w:t>
      </w:r>
      <w:r w:rsidR="00071D56" w:rsidRPr="009E1099">
        <w:t xml:space="preserve"> the </w:t>
      </w:r>
      <w:r w:rsidR="00A05C22" w:rsidRPr="009E1099">
        <w:t xml:space="preserve">Stafford </w:t>
      </w:r>
      <w:r w:rsidR="00071D56" w:rsidRPr="009E1099">
        <w:t>area can be served by urban level public facilities and services efficiently and cost-effectively by appropriate and financially capable service providers.</w:t>
      </w:r>
    </w:p>
    <w:p w:rsidR="00942859" w:rsidRDefault="00942859" w:rsidP="00942859">
      <w:pPr>
        <w:pStyle w:val="ListParagraph"/>
        <w:spacing w:after="240"/>
        <w:ind w:left="1080"/>
      </w:pPr>
    </w:p>
    <w:p w:rsidR="00FA1BB5" w:rsidRPr="00FA1BB5" w:rsidRDefault="00FA1BB5" w:rsidP="00E35DFE">
      <w:pPr>
        <w:pStyle w:val="ListParagraph"/>
        <w:numPr>
          <w:ilvl w:val="0"/>
          <w:numId w:val="3"/>
        </w:numPr>
        <w:spacing w:after="240"/>
        <w:rPr>
          <w:b/>
        </w:rPr>
      </w:pPr>
      <w:r>
        <w:rPr>
          <w:b/>
        </w:rPr>
        <w:t xml:space="preserve">No Appeal by the Cities.  </w:t>
      </w:r>
      <w:r>
        <w:t xml:space="preserve">In consideration for the promises and commitments made herein, the Cities agree that the Cities will not challenge the designation of Stafford </w:t>
      </w:r>
      <w:r w:rsidR="00A97BDF">
        <w:t xml:space="preserve">as Urban Reserve </w:t>
      </w:r>
      <w:r>
        <w:t xml:space="preserve">either before the State of Oregon Land Conservation and Development Commission or by appeal to the Oregon Court of Appeals. </w:t>
      </w:r>
    </w:p>
    <w:p w:rsidR="00FA1BB5" w:rsidRPr="00FA1BB5" w:rsidRDefault="00FA1BB5" w:rsidP="00FA1BB5">
      <w:pPr>
        <w:pStyle w:val="ListParagraph"/>
        <w:spacing w:after="240"/>
        <w:ind w:left="1080"/>
      </w:pPr>
    </w:p>
    <w:p w:rsidR="00942859" w:rsidRDefault="00E35DFE" w:rsidP="00E35DFE">
      <w:pPr>
        <w:pStyle w:val="ListParagraph"/>
        <w:numPr>
          <w:ilvl w:val="0"/>
          <w:numId w:val="3"/>
        </w:numPr>
        <w:spacing w:after="240"/>
      </w:pPr>
      <w:r w:rsidRPr="00942859">
        <w:rPr>
          <w:b/>
        </w:rPr>
        <w:t xml:space="preserve">Governing Law. </w:t>
      </w:r>
      <w:r>
        <w:t xml:space="preserve"> </w:t>
      </w:r>
      <w:r w:rsidRPr="00DD201F">
        <w:t xml:space="preserve">The laws of the State of </w:t>
      </w:r>
      <w:smartTag w:uri="urn:schemas-microsoft-com:office:smarttags" w:element="State">
        <w:r w:rsidRPr="00DD201F">
          <w:t>Oregon</w:t>
        </w:r>
      </w:smartTag>
      <w:r w:rsidRPr="00DD201F">
        <w:t xml:space="preserve"> will govern this Agreement and the Parties will submit to the jurisdiction of the courts of the State of </w:t>
      </w:r>
      <w:smartTag w:uri="urn:schemas-microsoft-com:office:smarttags" w:element="State">
        <w:smartTag w:uri="urn:schemas-microsoft-com:office:smarttags" w:element="place">
          <w:r w:rsidRPr="00DD201F">
            <w:t>Oregon</w:t>
          </w:r>
        </w:smartTag>
      </w:smartTag>
      <w:r w:rsidRPr="00DD201F">
        <w:t>.</w:t>
      </w:r>
    </w:p>
    <w:p w:rsidR="00942859" w:rsidRDefault="00942859" w:rsidP="00942859">
      <w:pPr>
        <w:pStyle w:val="ListParagraph"/>
        <w:spacing w:after="240"/>
        <w:ind w:left="1080"/>
      </w:pPr>
    </w:p>
    <w:p w:rsidR="00942859" w:rsidRDefault="00E35DFE" w:rsidP="00E35DFE">
      <w:pPr>
        <w:pStyle w:val="ListParagraph"/>
        <w:numPr>
          <w:ilvl w:val="0"/>
          <w:numId w:val="3"/>
        </w:numPr>
        <w:spacing w:after="240"/>
      </w:pPr>
      <w:r w:rsidRPr="00942859">
        <w:rPr>
          <w:b/>
        </w:rPr>
        <w:t>Amendment</w:t>
      </w:r>
      <w:r w:rsidR="00372D65" w:rsidRPr="00942859">
        <w:rPr>
          <w:b/>
        </w:rPr>
        <w:t>s</w:t>
      </w:r>
      <w:r w:rsidRPr="00942859">
        <w:rPr>
          <w:b/>
        </w:rPr>
        <w:t>.</w:t>
      </w:r>
      <w:r>
        <w:t xml:space="preserve">  </w:t>
      </w:r>
      <w:r w:rsidRPr="00DD201F">
        <w:t>This Agreement may be amended at any time with the written consent of all Parties.</w:t>
      </w:r>
    </w:p>
    <w:p w:rsidR="00942859" w:rsidRDefault="00942859" w:rsidP="00942859">
      <w:pPr>
        <w:pStyle w:val="ListParagraph"/>
        <w:spacing w:after="240"/>
        <w:ind w:left="1080"/>
      </w:pPr>
    </w:p>
    <w:p w:rsidR="00942859" w:rsidRDefault="00C26D7F" w:rsidP="00105061">
      <w:pPr>
        <w:pStyle w:val="ListParagraph"/>
        <w:numPr>
          <w:ilvl w:val="0"/>
          <w:numId w:val="3"/>
        </w:numPr>
        <w:spacing w:after="240"/>
      </w:pPr>
      <w:r w:rsidRPr="00942859">
        <w:rPr>
          <w:b/>
        </w:rPr>
        <w:t>Severability.</w:t>
      </w:r>
      <w:r>
        <w:t xml:space="preserve">   </w:t>
      </w:r>
      <w:r w:rsidR="00E35DFE" w:rsidRPr="00DD201F">
        <w:t>If any covenant or provision of this Agreement is adjudged void, such adjudication will not affect the validity, obligation, or performance of any other covenant or provision which in itself is valid if such remainder would then continue to conform with the terms and requirements of applicable law and the intent of this Agreement.</w:t>
      </w:r>
    </w:p>
    <w:p w:rsidR="00942859" w:rsidRDefault="00942859" w:rsidP="00942859">
      <w:pPr>
        <w:pStyle w:val="ListParagraph"/>
        <w:spacing w:after="240"/>
        <w:ind w:left="1080"/>
      </w:pPr>
    </w:p>
    <w:p w:rsidR="00E35DFE" w:rsidRPr="00C26D7F" w:rsidRDefault="00C26D7F" w:rsidP="00105061">
      <w:pPr>
        <w:pStyle w:val="ListParagraph"/>
        <w:numPr>
          <w:ilvl w:val="0"/>
          <w:numId w:val="3"/>
        </w:numPr>
        <w:spacing w:after="240"/>
      </w:pPr>
      <w:r w:rsidRPr="00942859">
        <w:rPr>
          <w:b/>
        </w:rPr>
        <w:t>Term.</w:t>
      </w:r>
      <w:r>
        <w:t xml:space="preserve">  </w:t>
      </w:r>
      <w:r w:rsidR="000B4F50">
        <w:t xml:space="preserve">This Agreement shall be effective upon execution by all Parties identified herein. </w:t>
      </w:r>
      <w:r>
        <w:t>This Agreement will terminate on the same date as the Reserves IGA, De</w:t>
      </w:r>
      <w:r w:rsidR="00A05C22">
        <w:t xml:space="preserve">cember 31, 2060, unless </w:t>
      </w:r>
      <w:r>
        <w:t>terminate</w:t>
      </w:r>
      <w:r w:rsidR="00A05C22">
        <w:t>d earlier</w:t>
      </w:r>
      <w:r>
        <w:t xml:space="preserve"> by agreement of the Parties.  </w:t>
      </w:r>
      <w:r w:rsidR="00A05C22" w:rsidRPr="009E1099">
        <w:t>If during the term of this A</w:t>
      </w:r>
      <w:r w:rsidR="00372D65" w:rsidRPr="009E1099">
        <w:t>greement there is a change in applicable law or other circumstance that materially affects compliance with on</w:t>
      </w:r>
      <w:r w:rsidR="00092903" w:rsidRPr="009E1099">
        <w:t>e</w:t>
      </w:r>
      <w:r w:rsidR="00372D65" w:rsidRPr="009E1099">
        <w:t xml:space="preserve"> or more provision</w:t>
      </w:r>
      <w:r w:rsidR="00092903" w:rsidRPr="009E1099">
        <w:t>s of this Agreement, the Parties agree to negotiate in a good faith a revision to this Agreement to address such law or circumstance in manner consistent with the intent of this Agreement.</w:t>
      </w:r>
      <w:r w:rsidR="00092903">
        <w:t xml:space="preserve">  </w:t>
      </w:r>
    </w:p>
    <w:p w:rsidR="00D02D04" w:rsidRDefault="00B86C76" w:rsidP="007B6B4B">
      <w:pPr>
        <w:spacing w:after="240"/>
        <w:jc w:val="both"/>
      </w:pPr>
      <w:r>
        <w:tab/>
      </w:r>
    </w:p>
    <w:p w:rsidR="00D02D04" w:rsidRDefault="00D02D04" w:rsidP="001C7D15">
      <w:pPr>
        <w:jc w:val="center"/>
      </w:pPr>
      <w:r>
        <w:t>[Signatures on Following Page]</w:t>
      </w:r>
      <w:r>
        <w:br w:type="page"/>
      </w:r>
    </w:p>
    <w:p w:rsidR="00B86C76" w:rsidRDefault="00B86C76" w:rsidP="007B6B4B">
      <w:pPr>
        <w:spacing w:after="240"/>
        <w:jc w:val="both"/>
      </w:pPr>
      <w:r>
        <w:t xml:space="preserve">IN WITNESS WHEREOF, each party has caused this </w:t>
      </w:r>
      <w:r w:rsidR="00B01510">
        <w:t>Intergovernmental Agreement</w:t>
      </w:r>
      <w:r>
        <w:t xml:space="preserve"> to be executed by its duly authorized representative on the date first mentioned above.</w:t>
      </w:r>
    </w:p>
    <w:p w:rsidR="00A3277A" w:rsidRDefault="00A3277A" w:rsidP="00A3277A">
      <w:pPr>
        <w:jc w:val="both"/>
      </w:pPr>
    </w:p>
    <w:p w:rsidR="00A3277A" w:rsidRPr="00A3277A" w:rsidRDefault="00A3277A" w:rsidP="00A3277A">
      <w:pPr>
        <w:jc w:val="both"/>
      </w:pPr>
      <w:r>
        <w:rPr>
          <w:u w:val="single"/>
        </w:rPr>
        <w:tab/>
      </w:r>
      <w:r>
        <w:rPr>
          <w:u w:val="single"/>
        </w:rPr>
        <w:tab/>
      </w:r>
      <w:r>
        <w:rPr>
          <w:u w:val="single"/>
        </w:rPr>
        <w:tab/>
      </w:r>
      <w:r>
        <w:rPr>
          <w:u w:val="single"/>
        </w:rPr>
        <w:tab/>
      </w:r>
      <w:r>
        <w:rPr>
          <w:u w:val="single"/>
        </w:rPr>
        <w:tab/>
      </w:r>
      <w:r>
        <w:tab/>
      </w:r>
      <w:r>
        <w:tab/>
        <w:t xml:space="preserve">Dated: </w:t>
      </w:r>
      <w:r w:rsidR="000B4F50">
        <w:t xml:space="preserve">May </w:t>
      </w:r>
      <w:r>
        <w:rPr>
          <w:u w:val="single"/>
        </w:rPr>
        <w:tab/>
        <w:t xml:space="preserve">  </w:t>
      </w:r>
      <w:r>
        <w:t xml:space="preserve"> , 2017</w:t>
      </w:r>
    </w:p>
    <w:p w:rsidR="00B86C76" w:rsidRDefault="00A3277A" w:rsidP="00A3277A">
      <w:pPr>
        <w:jc w:val="both"/>
      </w:pPr>
      <w:r>
        <w:t>Metro Council</w:t>
      </w:r>
    </w:p>
    <w:p w:rsidR="00A3277A" w:rsidRDefault="00A3277A" w:rsidP="00A3277A">
      <w:pPr>
        <w:jc w:val="both"/>
      </w:pPr>
    </w:p>
    <w:p w:rsidR="00A3277A" w:rsidRDefault="00A3277A" w:rsidP="00A3277A">
      <w:pPr>
        <w:jc w:val="both"/>
      </w:pPr>
    </w:p>
    <w:p w:rsidR="00A3277A" w:rsidRDefault="00A3277A" w:rsidP="00A3277A">
      <w:pPr>
        <w:jc w:val="both"/>
      </w:pPr>
    </w:p>
    <w:p w:rsidR="0004545C" w:rsidRPr="00A3277A" w:rsidRDefault="00A3277A" w:rsidP="00A3277A">
      <w:pPr>
        <w:jc w:val="both"/>
      </w:pPr>
      <w:r>
        <w:rPr>
          <w:u w:val="single"/>
        </w:rPr>
        <w:tab/>
      </w:r>
      <w:r>
        <w:rPr>
          <w:u w:val="single"/>
        </w:rPr>
        <w:tab/>
      </w:r>
      <w:r>
        <w:rPr>
          <w:u w:val="single"/>
        </w:rPr>
        <w:tab/>
      </w:r>
      <w:r>
        <w:rPr>
          <w:u w:val="single"/>
        </w:rPr>
        <w:tab/>
      </w:r>
      <w:r>
        <w:rPr>
          <w:u w:val="single"/>
        </w:rPr>
        <w:tab/>
      </w:r>
      <w:r w:rsidRPr="00A3277A">
        <w:tab/>
      </w:r>
      <w:r>
        <w:tab/>
      </w:r>
      <w:r w:rsidRPr="00A3277A">
        <w:t xml:space="preserve">Dated: </w:t>
      </w:r>
      <w:r w:rsidR="000B4F50">
        <w:t xml:space="preserve">May </w:t>
      </w:r>
      <w:r>
        <w:rPr>
          <w:u w:val="single"/>
        </w:rPr>
        <w:tab/>
        <w:t xml:space="preserve">  </w:t>
      </w:r>
      <w:r>
        <w:t xml:space="preserve"> </w:t>
      </w:r>
      <w:r w:rsidRPr="00A3277A">
        <w:t>, 2017</w:t>
      </w:r>
    </w:p>
    <w:p w:rsidR="00A3277A" w:rsidRDefault="007B6B4B" w:rsidP="00A3277A">
      <w:pPr>
        <w:jc w:val="both"/>
      </w:pPr>
      <w:r>
        <w:t>Clackamas County</w:t>
      </w:r>
    </w:p>
    <w:p w:rsidR="0004545C" w:rsidRDefault="0004545C" w:rsidP="00A3277A">
      <w:pPr>
        <w:jc w:val="both"/>
      </w:pPr>
    </w:p>
    <w:p w:rsidR="0004545C" w:rsidRDefault="0004545C" w:rsidP="00A3277A">
      <w:pPr>
        <w:jc w:val="both"/>
      </w:pPr>
    </w:p>
    <w:p w:rsidR="0004545C" w:rsidRDefault="0004545C" w:rsidP="00A3277A">
      <w:pPr>
        <w:jc w:val="both"/>
      </w:pPr>
    </w:p>
    <w:p w:rsidR="0004545C" w:rsidRPr="00A3277A" w:rsidRDefault="0004545C" w:rsidP="0004545C">
      <w:pPr>
        <w:jc w:val="both"/>
      </w:pPr>
      <w:r>
        <w:rPr>
          <w:u w:val="single"/>
        </w:rPr>
        <w:tab/>
      </w:r>
      <w:r>
        <w:rPr>
          <w:u w:val="single"/>
        </w:rPr>
        <w:tab/>
      </w:r>
      <w:r>
        <w:rPr>
          <w:u w:val="single"/>
        </w:rPr>
        <w:tab/>
      </w:r>
      <w:r>
        <w:rPr>
          <w:u w:val="single"/>
        </w:rPr>
        <w:tab/>
      </w:r>
      <w:r>
        <w:rPr>
          <w:u w:val="single"/>
        </w:rPr>
        <w:tab/>
      </w:r>
      <w:r>
        <w:tab/>
      </w:r>
      <w:r>
        <w:tab/>
        <w:t xml:space="preserve">Dated: </w:t>
      </w:r>
      <w:r w:rsidR="000B4F50">
        <w:t xml:space="preserve">May </w:t>
      </w:r>
      <w:r>
        <w:rPr>
          <w:u w:val="single"/>
        </w:rPr>
        <w:tab/>
        <w:t xml:space="preserve">  </w:t>
      </w:r>
      <w:r>
        <w:t xml:space="preserve"> , 2017</w:t>
      </w:r>
    </w:p>
    <w:p w:rsidR="0004545C" w:rsidRDefault="0004545C" w:rsidP="0004545C">
      <w:pPr>
        <w:jc w:val="both"/>
      </w:pPr>
      <w:r>
        <w:t>City of Lake Oswego</w:t>
      </w:r>
    </w:p>
    <w:p w:rsidR="00AF46E7" w:rsidRDefault="00AF46E7" w:rsidP="0004545C">
      <w:pPr>
        <w:jc w:val="both"/>
      </w:pPr>
    </w:p>
    <w:p w:rsidR="0004545C" w:rsidRDefault="0004545C" w:rsidP="0004545C">
      <w:pPr>
        <w:jc w:val="both"/>
      </w:pPr>
    </w:p>
    <w:p w:rsidR="0004545C" w:rsidRDefault="0004545C" w:rsidP="0004545C">
      <w:pPr>
        <w:jc w:val="both"/>
      </w:pPr>
    </w:p>
    <w:p w:rsidR="0004545C" w:rsidRPr="00A3277A" w:rsidRDefault="0004545C" w:rsidP="0004545C">
      <w:pPr>
        <w:jc w:val="both"/>
      </w:pPr>
      <w:r>
        <w:rPr>
          <w:u w:val="single"/>
        </w:rPr>
        <w:tab/>
      </w:r>
      <w:r>
        <w:rPr>
          <w:u w:val="single"/>
        </w:rPr>
        <w:tab/>
      </w:r>
      <w:r>
        <w:rPr>
          <w:u w:val="single"/>
        </w:rPr>
        <w:tab/>
      </w:r>
      <w:r>
        <w:rPr>
          <w:u w:val="single"/>
        </w:rPr>
        <w:tab/>
      </w:r>
      <w:r>
        <w:rPr>
          <w:u w:val="single"/>
        </w:rPr>
        <w:tab/>
      </w:r>
      <w:r w:rsidRPr="00A3277A">
        <w:tab/>
      </w:r>
      <w:r>
        <w:tab/>
      </w:r>
      <w:r w:rsidRPr="00A3277A">
        <w:t xml:space="preserve">Dated: </w:t>
      </w:r>
      <w:r w:rsidR="000B4F50">
        <w:t xml:space="preserve">May </w:t>
      </w:r>
      <w:r>
        <w:rPr>
          <w:u w:val="single"/>
        </w:rPr>
        <w:tab/>
        <w:t xml:space="preserve">  </w:t>
      </w:r>
      <w:r>
        <w:t xml:space="preserve"> </w:t>
      </w:r>
      <w:r w:rsidRPr="00A3277A">
        <w:t>, 2017</w:t>
      </w:r>
    </w:p>
    <w:p w:rsidR="0004545C" w:rsidRDefault="0004545C" w:rsidP="0004545C">
      <w:pPr>
        <w:jc w:val="both"/>
      </w:pPr>
      <w:r>
        <w:t>City of Tualatin</w:t>
      </w:r>
    </w:p>
    <w:p w:rsidR="0004545C" w:rsidRDefault="0004545C" w:rsidP="0004545C">
      <w:pPr>
        <w:jc w:val="both"/>
      </w:pPr>
    </w:p>
    <w:p w:rsidR="0004545C" w:rsidRDefault="0004545C" w:rsidP="0004545C">
      <w:pPr>
        <w:jc w:val="both"/>
      </w:pPr>
    </w:p>
    <w:p w:rsidR="0004545C" w:rsidRDefault="0004545C" w:rsidP="0004545C">
      <w:pPr>
        <w:jc w:val="both"/>
      </w:pPr>
    </w:p>
    <w:p w:rsidR="0004545C" w:rsidRDefault="0004545C" w:rsidP="0004545C">
      <w:pPr>
        <w:jc w:val="both"/>
      </w:pPr>
    </w:p>
    <w:p w:rsidR="0004545C" w:rsidRPr="00A3277A" w:rsidRDefault="0004545C" w:rsidP="0004545C">
      <w:pPr>
        <w:jc w:val="both"/>
      </w:pPr>
      <w:r>
        <w:rPr>
          <w:u w:val="single"/>
        </w:rPr>
        <w:tab/>
      </w:r>
      <w:r>
        <w:rPr>
          <w:u w:val="single"/>
        </w:rPr>
        <w:tab/>
      </w:r>
      <w:r>
        <w:rPr>
          <w:u w:val="single"/>
        </w:rPr>
        <w:tab/>
      </w:r>
      <w:r>
        <w:rPr>
          <w:u w:val="single"/>
        </w:rPr>
        <w:tab/>
      </w:r>
      <w:r>
        <w:rPr>
          <w:u w:val="single"/>
        </w:rPr>
        <w:tab/>
      </w:r>
      <w:r w:rsidRPr="00A3277A">
        <w:tab/>
      </w:r>
      <w:r>
        <w:tab/>
      </w:r>
      <w:r w:rsidRPr="00A3277A">
        <w:t xml:space="preserve">Dated: </w:t>
      </w:r>
      <w:r w:rsidR="000B4F50">
        <w:t xml:space="preserve">May </w:t>
      </w:r>
      <w:r>
        <w:rPr>
          <w:u w:val="single"/>
        </w:rPr>
        <w:tab/>
        <w:t xml:space="preserve">  </w:t>
      </w:r>
      <w:r>
        <w:t xml:space="preserve"> </w:t>
      </w:r>
      <w:r w:rsidRPr="00A3277A">
        <w:t>, 2017</w:t>
      </w:r>
    </w:p>
    <w:p w:rsidR="0004545C" w:rsidRDefault="0004545C" w:rsidP="0004545C">
      <w:pPr>
        <w:jc w:val="both"/>
      </w:pPr>
      <w:r>
        <w:t>City of West Linn</w:t>
      </w:r>
    </w:p>
    <w:p w:rsidR="0004545C" w:rsidRPr="00A3277A" w:rsidRDefault="0004545C" w:rsidP="00A3277A">
      <w:pPr>
        <w:jc w:val="both"/>
      </w:pPr>
    </w:p>
    <w:sectPr w:rsidR="0004545C" w:rsidRPr="00A3277A" w:rsidSect="0058368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57" w:rsidRDefault="009A4157">
      <w:r>
        <w:separator/>
      </w:r>
    </w:p>
    <w:p w:rsidR="009A4157" w:rsidRDefault="009A4157"/>
  </w:endnote>
  <w:endnote w:type="continuationSeparator" w:id="0">
    <w:p w:rsidR="009A4157" w:rsidRDefault="009A4157">
      <w:r>
        <w:continuationSeparator/>
      </w:r>
    </w:p>
    <w:p w:rsidR="009A4157" w:rsidRDefault="009A4157"/>
  </w:endnote>
  <w:endnote w:type="continuationNotice" w:id="1">
    <w:p w:rsidR="009A4157" w:rsidRDefault="009A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B0" w:rsidRDefault="008E7DB0">
    <w:pPr>
      <w:pStyle w:val="Footer"/>
    </w:pPr>
  </w:p>
  <w:p w:rsidR="008E7DB0" w:rsidRDefault="008E7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B0" w:rsidRDefault="008E7DB0">
    <w:pPr>
      <w:pStyle w:val="Footer"/>
    </w:pPr>
    <w:r>
      <w:t xml:space="preserve">Page </w:t>
    </w:r>
    <w:r w:rsidR="009C1677">
      <w:fldChar w:fldCharType="begin"/>
    </w:r>
    <w:r w:rsidR="009C1677">
      <w:instrText xml:space="preserve"> PAGE  \* MERGEFORMAT </w:instrText>
    </w:r>
    <w:r w:rsidR="009C1677">
      <w:fldChar w:fldCharType="separate"/>
    </w:r>
    <w:r w:rsidR="00E01A01">
      <w:rPr>
        <w:noProof/>
      </w:rPr>
      <w:t>5</w:t>
    </w:r>
    <w:r w:rsidR="009C1677">
      <w:rPr>
        <w:noProof/>
      </w:rPr>
      <w:fldChar w:fldCharType="end"/>
    </w:r>
    <w:r>
      <w:t xml:space="preserve"> – Intergovernmental Agreement – </w:t>
    </w:r>
    <w:r w:rsidR="0058368D">
      <w:t>5/</w:t>
    </w:r>
    <w:r w:rsidR="000B4F50">
      <w:t>1</w:t>
    </w:r>
    <w:r w:rsidR="001A1BE0">
      <w:t>8</w:t>
    </w:r>
    <w:r w:rsidR="000B4F50">
      <w:t xml:space="preserve"> County </w:t>
    </w:r>
    <w:r>
      <w:t>Draft.</w:t>
    </w:r>
  </w:p>
  <w:p w:rsidR="008E7DB0" w:rsidRDefault="008E7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57" w:rsidRDefault="009A4157">
      <w:r>
        <w:separator/>
      </w:r>
    </w:p>
    <w:p w:rsidR="009A4157" w:rsidRDefault="009A4157"/>
  </w:footnote>
  <w:footnote w:type="continuationSeparator" w:id="0">
    <w:p w:rsidR="009A4157" w:rsidRDefault="009A4157">
      <w:r>
        <w:continuationSeparator/>
      </w:r>
    </w:p>
    <w:p w:rsidR="009A4157" w:rsidRDefault="009A4157"/>
  </w:footnote>
  <w:footnote w:type="continuationNotice" w:id="1">
    <w:p w:rsidR="009A4157" w:rsidRDefault="009A4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B0" w:rsidRDefault="00E0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88527" o:spid="_x0000_s2057" type="#_x0000_t136" style="position:absolute;margin-left:0;margin-top:0;width:582.15pt;height:77.6pt;rotation:315;z-index:-251655168;mso-position-horizontal:center;mso-position-horizontal-relative:margin;mso-position-vertical:center;mso-position-vertical-relative:margin" o:allowincell="f" fillcolor="silver" stroked="f">
          <v:fill opacity=".5"/>
          <v:textpath style="font-family:&quot;Times New Roman&quot;;font-size:1pt" string="DRAFT 5-18-2017"/>
          <w10:wrap anchorx="margin" anchory="margin"/>
        </v:shape>
      </w:pict>
    </w:r>
  </w:p>
  <w:p w:rsidR="008E7DB0" w:rsidRDefault="008E7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B0" w:rsidRDefault="00E0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88528" o:spid="_x0000_s2058" type="#_x0000_t136" style="position:absolute;margin-left:0;margin-top:0;width:582.15pt;height:77.6pt;rotation:315;z-index:-251653120;mso-position-horizontal:center;mso-position-horizontal-relative:margin;mso-position-vertical:center;mso-position-vertical-relative:margin" o:allowincell="f" fillcolor="silver" stroked="f">
          <v:fill opacity=".5"/>
          <v:textpath style="font-family:&quot;Times New Roman&quot;;font-size:1pt" string="DRAFT 5-18-2017"/>
          <w10:wrap anchorx="margin" anchory="margin"/>
        </v:shape>
      </w:pict>
    </w:r>
  </w:p>
  <w:p w:rsidR="008E7DB0" w:rsidRDefault="008E7D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B0" w:rsidRDefault="00E01A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88526" o:spid="_x0000_s2056" type="#_x0000_t136" style="position:absolute;margin-left:0;margin-top:0;width:582.15pt;height:77.6pt;rotation:315;z-index:-251657216;mso-position-horizontal:center;mso-position-horizontal-relative:margin;mso-position-vertical:center;mso-position-vertical-relative:margin" o:allowincell="f" fillcolor="silver" stroked="f">
          <v:fill opacity=".5"/>
          <v:textpath style="font-family:&quot;Times New Roman&quot;;font-size:1pt" string="DRAFT 5-18-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E46"/>
    <w:multiLevelType w:val="singleLevel"/>
    <w:tmpl w:val="9EF4684A"/>
    <w:lvl w:ilvl="0">
      <w:start w:val="1"/>
      <w:numFmt w:val="bullet"/>
      <w:lvlText w:val=""/>
      <w:lvlJc w:val="left"/>
      <w:pPr>
        <w:tabs>
          <w:tab w:val="num" w:pos="360"/>
        </w:tabs>
        <w:ind w:left="360" w:hanging="360"/>
      </w:pPr>
      <w:rPr>
        <w:rFonts w:ascii="Symbol" w:hAnsi="Symbol" w:hint="default"/>
      </w:rPr>
    </w:lvl>
  </w:abstractNum>
  <w:abstractNum w:abstractNumId="1">
    <w:nsid w:val="53FD6201"/>
    <w:multiLevelType w:val="hybridMultilevel"/>
    <w:tmpl w:val="123E2B92"/>
    <w:lvl w:ilvl="0" w:tplc="329AB176">
      <w:start w:val="1"/>
      <w:numFmt w:val="decimal"/>
      <w:pStyle w:val="Lentslevel1"/>
      <w:lvlText w:val="%1."/>
      <w:lvlJc w:val="left"/>
      <w:pPr>
        <w:tabs>
          <w:tab w:val="num" w:pos="360"/>
        </w:tabs>
        <w:ind w:left="360" w:hanging="360"/>
      </w:pPr>
      <w:rPr>
        <w:rFonts w:hint="default"/>
      </w:rPr>
    </w:lvl>
    <w:lvl w:ilvl="1" w:tplc="FD90386E">
      <w:start w:val="1"/>
      <w:numFmt w:val="lowerLetter"/>
      <w:pStyle w:val="leveesIGAlevel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0B4C38"/>
    <w:multiLevelType w:val="hybridMultilevel"/>
    <w:tmpl w:val="94C6D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54718F"/>
    <w:multiLevelType w:val="hybridMultilevel"/>
    <w:tmpl w:val="8AD48B1E"/>
    <w:lvl w:ilvl="0" w:tplc="8AE6010E">
      <w:start w:val="1"/>
      <w:numFmt w:val="decimal"/>
      <w:lvlText w:val="%1."/>
      <w:lvlJc w:val="left"/>
      <w:pPr>
        <w:ind w:hanging="323"/>
        <w:jc w:val="left"/>
      </w:pPr>
      <w:rPr>
        <w:rFonts w:ascii="Times New Roman" w:eastAsia="Times New Roman" w:hAnsi="Times New Roman" w:hint="default"/>
        <w:color w:val="444444"/>
        <w:w w:val="108"/>
        <w:sz w:val="23"/>
        <w:szCs w:val="23"/>
      </w:rPr>
    </w:lvl>
    <w:lvl w:ilvl="1" w:tplc="EFBEEB96">
      <w:start w:val="1"/>
      <w:numFmt w:val="bullet"/>
      <w:lvlText w:val="•"/>
      <w:lvlJc w:val="left"/>
      <w:rPr>
        <w:rFonts w:hint="default"/>
      </w:rPr>
    </w:lvl>
    <w:lvl w:ilvl="2" w:tplc="573C3560">
      <w:start w:val="1"/>
      <w:numFmt w:val="bullet"/>
      <w:lvlText w:val="•"/>
      <w:lvlJc w:val="left"/>
      <w:rPr>
        <w:rFonts w:hint="default"/>
      </w:rPr>
    </w:lvl>
    <w:lvl w:ilvl="3" w:tplc="0E3454EE">
      <w:start w:val="1"/>
      <w:numFmt w:val="bullet"/>
      <w:lvlText w:val="•"/>
      <w:lvlJc w:val="left"/>
      <w:rPr>
        <w:rFonts w:hint="default"/>
      </w:rPr>
    </w:lvl>
    <w:lvl w:ilvl="4" w:tplc="A3244658">
      <w:start w:val="1"/>
      <w:numFmt w:val="bullet"/>
      <w:lvlText w:val="•"/>
      <w:lvlJc w:val="left"/>
      <w:rPr>
        <w:rFonts w:hint="default"/>
      </w:rPr>
    </w:lvl>
    <w:lvl w:ilvl="5" w:tplc="F2EABE9C">
      <w:start w:val="1"/>
      <w:numFmt w:val="bullet"/>
      <w:lvlText w:val="•"/>
      <w:lvlJc w:val="left"/>
      <w:rPr>
        <w:rFonts w:hint="default"/>
      </w:rPr>
    </w:lvl>
    <w:lvl w:ilvl="6" w:tplc="159E915A">
      <w:start w:val="1"/>
      <w:numFmt w:val="bullet"/>
      <w:lvlText w:val="•"/>
      <w:lvlJc w:val="left"/>
      <w:rPr>
        <w:rFonts w:hint="default"/>
      </w:rPr>
    </w:lvl>
    <w:lvl w:ilvl="7" w:tplc="8FFC310A">
      <w:start w:val="1"/>
      <w:numFmt w:val="bullet"/>
      <w:lvlText w:val="•"/>
      <w:lvlJc w:val="left"/>
      <w:rPr>
        <w:rFonts w:hint="default"/>
      </w:rPr>
    </w:lvl>
    <w:lvl w:ilvl="8" w:tplc="C6A40BDA">
      <w:start w:val="1"/>
      <w:numFmt w:val="bullet"/>
      <w:lvlText w:val="•"/>
      <w:lvlJc w:val="left"/>
      <w:rPr>
        <w:rFonts w:hint="default"/>
      </w:rPr>
    </w:lvl>
  </w:abstractNum>
  <w:abstractNum w:abstractNumId="4">
    <w:nsid w:val="762C477A"/>
    <w:multiLevelType w:val="hybridMultilevel"/>
    <w:tmpl w:val="A99EB330"/>
    <w:lvl w:ilvl="0" w:tplc="EB28F8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derman, Nathan">
    <w15:presenceInfo w15:providerId="AD" w15:userId="S-1-5-21-578173802-4235225221-1100010717-2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ype" w:val="102"/>
    <w:docVar w:name="DMS_Temp" w:val="ndOffice||ID~4811-7915-5018||Version~1||Cabinet~NG-89WBSIQD||FileName~Stafford IGA - Final IGA.docx||LastModified~6/9/2017 2:08:47 PM||Client~169910||Matter~0013||Document Type~Business Documents||Author~Condit, Jeffrey G.||Comments~||Legacy Doc ID~||Date Stamp~||Legacy Folder Path~||Legacy Document Type~||Legacy Prolaw-ProfoundID~||"/>
    <w:docVar w:name="MPDocID" w:val="4811-7915-5018.1"/>
    <w:docVar w:name="MPDocIDTemplate" w:val="%n|.%v"/>
    <w:docVar w:name="MPDocIDTemplateDefault" w:val="%n|.%v"/>
    <w:docVar w:name="NewDocStampType" w:val="7"/>
  </w:docVars>
  <w:rsids>
    <w:rsidRoot w:val="00E23896"/>
    <w:rsid w:val="000012DB"/>
    <w:rsid w:val="0001131F"/>
    <w:rsid w:val="0001737E"/>
    <w:rsid w:val="0002418B"/>
    <w:rsid w:val="00027F48"/>
    <w:rsid w:val="0004545C"/>
    <w:rsid w:val="000528D8"/>
    <w:rsid w:val="000674EC"/>
    <w:rsid w:val="00070CBF"/>
    <w:rsid w:val="00071D56"/>
    <w:rsid w:val="00085385"/>
    <w:rsid w:val="00085950"/>
    <w:rsid w:val="00092903"/>
    <w:rsid w:val="00093E30"/>
    <w:rsid w:val="000B4F50"/>
    <w:rsid w:val="000D69B1"/>
    <w:rsid w:val="000E1204"/>
    <w:rsid w:val="000F5418"/>
    <w:rsid w:val="00102839"/>
    <w:rsid w:val="00103964"/>
    <w:rsid w:val="00105061"/>
    <w:rsid w:val="00123F5E"/>
    <w:rsid w:val="00135866"/>
    <w:rsid w:val="00155DAD"/>
    <w:rsid w:val="00170390"/>
    <w:rsid w:val="00170E2F"/>
    <w:rsid w:val="0018249F"/>
    <w:rsid w:val="001A1BE0"/>
    <w:rsid w:val="001B0B7B"/>
    <w:rsid w:val="001B23E5"/>
    <w:rsid w:val="001B5306"/>
    <w:rsid w:val="001B746A"/>
    <w:rsid w:val="001C7D15"/>
    <w:rsid w:val="001E5E97"/>
    <w:rsid w:val="001E7A4F"/>
    <w:rsid w:val="002100A9"/>
    <w:rsid w:val="00212214"/>
    <w:rsid w:val="00226BE7"/>
    <w:rsid w:val="0023220D"/>
    <w:rsid w:val="00240348"/>
    <w:rsid w:val="00245176"/>
    <w:rsid w:val="0025710D"/>
    <w:rsid w:val="00263650"/>
    <w:rsid w:val="00266CB9"/>
    <w:rsid w:val="002674B6"/>
    <w:rsid w:val="002A1F93"/>
    <w:rsid w:val="002A2156"/>
    <w:rsid w:val="002A3F96"/>
    <w:rsid w:val="002A62E6"/>
    <w:rsid w:val="002B59B2"/>
    <w:rsid w:val="002C235D"/>
    <w:rsid w:val="002F375B"/>
    <w:rsid w:val="002F63AD"/>
    <w:rsid w:val="00302619"/>
    <w:rsid w:val="00316FD9"/>
    <w:rsid w:val="003321E1"/>
    <w:rsid w:val="00335695"/>
    <w:rsid w:val="00361AF7"/>
    <w:rsid w:val="0036441D"/>
    <w:rsid w:val="00365BFC"/>
    <w:rsid w:val="00366F26"/>
    <w:rsid w:val="00372D65"/>
    <w:rsid w:val="00380745"/>
    <w:rsid w:val="00390A82"/>
    <w:rsid w:val="00393852"/>
    <w:rsid w:val="003C458D"/>
    <w:rsid w:val="003E3545"/>
    <w:rsid w:val="003F5B0B"/>
    <w:rsid w:val="00411717"/>
    <w:rsid w:val="004222F3"/>
    <w:rsid w:val="00422BB9"/>
    <w:rsid w:val="00424721"/>
    <w:rsid w:val="00441C14"/>
    <w:rsid w:val="00444B38"/>
    <w:rsid w:val="004658E1"/>
    <w:rsid w:val="00466F0E"/>
    <w:rsid w:val="0049676D"/>
    <w:rsid w:val="004A30C5"/>
    <w:rsid w:val="004B32F0"/>
    <w:rsid w:val="004B441D"/>
    <w:rsid w:val="004D73D6"/>
    <w:rsid w:val="004F20AC"/>
    <w:rsid w:val="004F5EC1"/>
    <w:rsid w:val="004F68CB"/>
    <w:rsid w:val="004F7689"/>
    <w:rsid w:val="00501E16"/>
    <w:rsid w:val="00514901"/>
    <w:rsid w:val="00515DE2"/>
    <w:rsid w:val="00536E84"/>
    <w:rsid w:val="00537F5E"/>
    <w:rsid w:val="00550295"/>
    <w:rsid w:val="00564ECD"/>
    <w:rsid w:val="005738A8"/>
    <w:rsid w:val="0058368D"/>
    <w:rsid w:val="00583775"/>
    <w:rsid w:val="00596AFE"/>
    <w:rsid w:val="005C7EDB"/>
    <w:rsid w:val="005D3602"/>
    <w:rsid w:val="005D4847"/>
    <w:rsid w:val="005E3B52"/>
    <w:rsid w:val="005E7769"/>
    <w:rsid w:val="00613180"/>
    <w:rsid w:val="00613B6F"/>
    <w:rsid w:val="00633D84"/>
    <w:rsid w:val="00652D18"/>
    <w:rsid w:val="006558FE"/>
    <w:rsid w:val="0066045A"/>
    <w:rsid w:val="00675826"/>
    <w:rsid w:val="00681A1C"/>
    <w:rsid w:val="006859AA"/>
    <w:rsid w:val="006A6565"/>
    <w:rsid w:val="006C0A0B"/>
    <w:rsid w:val="006D2C86"/>
    <w:rsid w:val="006D49D8"/>
    <w:rsid w:val="006E5AB1"/>
    <w:rsid w:val="0070161C"/>
    <w:rsid w:val="00716EA8"/>
    <w:rsid w:val="007170F0"/>
    <w:rsid w:val="00722369"/>
    <w:rsid w:val="0072594D"/>
    <w:rsid w:val="00741E1C"/>
    <w:rsid w:val="00750FC9"/>
    <w:rsid w:val="00752152"/>
    <w:rsid w:val="00770A2A"/>
    <w:rsid w:val="0078558B"/>
    <w:rsid w:val="007B6B4B"/>
    <w:rsid w:val="007E02D3"/>
    <w:rsid w:val="007F715A"/>
    <w:rsid w:val="00841282"/>
    <w:rsid w:val="00846C06"/>
    <w:rsid w:val="008539B9"/>
    <w:rsid w:val="0085532B"/>
    <w:rsid w:val="008828FD"/>
    <w:rsid w:val="0089630C"/>
    <w:rsid w:val="008A763D"/>
    <w:rsid w:val="008B2DF4"/>
    <w:rsid w:val="008B65BD"/>
    <w:rsid w:val="008B6D1B"/>
    <w:rsid w:val="008D2796"/>
    <w:rsid w:val="008E38D5"/>
    <w:rsid w:val="008E43D8"/>
    <w:rsid w:val="008E7DB0"/>
    <w:rsid w:val="008F270C"/>
    <w:rsid w:val="00917DF7"/>
    <w:rsid w:val="00926CBF"/>
    <w:rsid w:val="009305CE"/>
    <w:rsid w:val="009368DA"/>
    <w:rsid w:val="00940D94"/>
    <w:rsid w:val="00942859"/>
    <w:rsid w:val="009520D7"/>
    <w:rsid w:val="009801A1"/>
    <w:rsid w:val="009905DF"/>
    <w:rsid w:val="009A4157"/>
    <w:rsid w:val="009C1677"/>
    <w:rsid w:val="009D2A3E"/>
    <w:rsid w:val="009E1099"/>
    <w:rsid w:val="009E218C"/>
    <w:rsid w:val="009E3160"/>
    <w:rsid w:val="00A05C22"/>
    <w:rsid w:val="00A16AB9"/>
    <w:rsid w:val="00A20912"/>
    <w:rsid w:val="00A3277A"/>
    <w:rsid w:val="00A50147"/>
    <w:rsid w:val="00A564AB"/>
    <w:rsid w:val="00A87E24"/>
    <w:rsid w:val="00A97BDF"/>
    <w:rsid w:val="00AB4ABC"/>
    <w:rsid w:val="00AC47B5"/>
    <w:rsid w:val="00AD1A73"/>
    <w:rsid w:val="00AE7AD5"/>
    <w:rsid w:val="00AF46E7"/>
    <w:rsid w:val="00B00D18"/>
    <w:rsid w:val="00B01510"/>
    <w:rsid w:val="00B02ADB"/>
    <w:rsid w:val="00B21CBD"/>
    <w:rsid w:val="00B232D4"/>
    <w:rsid w:val="00B44BA2"/>
    <w:rsid w:val="00B747EC"/>
    <w:rsid w:val="00B813A6"/>
    <w:rsid w:val="00B85B2A"/>
    <w:rsid w:val="00B86C76"/>
    <w:rsid w:val="00B906B7"/>
    <w:rsid w:val="00B9438B"/>
    <w:rsid w:val="00BA1C19"/>
    <w:rsid w:val="00BB4FFC"/>
    <w:rsid w:val="00BB6083"/>
    <w:rsid w:val="00BC7F32"/>
    <w:rsid w:val="00BD7A54"/>
    <w:rsid w:val="00C26D7F"/>
    <w:rsid w:val="00C40829"/>
    <w:rsid w:val="00C64083"/>
    <w:rsid w:val="00C83746"/>
    <w:rsid w:val="00C839D1"/>
    <w:rsid w:val="00CA14A7"/>
    <w:rsid w:val="00CB0417"/>
    <w:rsid w:val="00CB096E"/>
    <w:rsid w:val="00CB2E0E"/>
    <w:rsid w:val="00CD0E68"/>
    <w:rsid w:val="00CD219C"/>
    <w:rsid w:val="00CE6DB6"/>
    <w:rsid w:val="00CF1616"/>
    <w:rsid w:val="00CF57B6"/>
    <w:rsid w:val="00D01538"/>
    <w:rsid w:val="00D02D04"/>
    <w:rsid w:val="00D04A0E"/>
    <w:rsid w:val="00D07C8A"/>
    <w:rsid w:val="00D20906"/>
    <w:rsid w:val="00D348EC"/>
    <w:rsid w:val="00D41487"/>
    <w:rsid w:val="00D53A37"/>
    <w:rsid w:val="00D61E4C"/>
    <w:rsid w:val="00D76753"/>
    <w:rsid w:val="00D92FA8"/>
    <w:rsid w:val="00D93747"/>
    <w:rsid w:val="00D970C4"/>
    <w:rsid w:val="00E01A01"/>
    <w:rsid w:val="00E01C59"/>
    <w:rsid w:val="00E111AC"/>
    <w:rsid w:val="00E12707"/>
    <w:rsid w:val="00E146BF"/>
    <w:rsid w:val="00E23896"/>
    <w:rsid w:val="00E354A6"/>
    <w:rsid w:val="00E35DFE"/>
    <w:rsid w:val="00E4016C"/>
    <w:rsid w:val="00E52328"/>
    <w:rsid w:val="00E56373"/>
    <w:rsid w:val="00E63BA2"/>
    <w:rsid w:val="00E72BCA"/>
    <w:rsid w:val="00E82B4F"/>
    <w:rsid w:val="00E929DC"/>
    <w:rsid w:val="00EA26D0"/>
    <w:rsid w:val="00EB0F9C"/>
    <w:rsid w:val="00EC2B67"/>
    <w:rsid w:val="00EC3602"/>
    <w:rsid w:val="00EC5A35"/>
    <w:rsid w:val="00ED34A6"/>
    <w:rsid w:val="00EE1111"/>
    <w:rsid w:val="00F01B06"/>
    <w:rsid w:val="00F04E5B"/>
    <w:rsid w:val="00F07686"/>
    <w:rsid w:val="00F2280E"/>
    <w:rsid w:val="00F349E0"/>
    <w:rsid w:val="00F60A46"/>
    <w:rsid w:val="00F62F54"/>
    <w:rsid w:val="00FA1BB5"/>
    <w:rsid w:val="00FA764F"/>
    <w:rsid w:val="00FC4FF1"/>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2594D"/>
    <w:pPr>
      <w:framePr w:w="7920" w:h="1980" w:hRule="exact" w:hSpace="180" w:wrap="auto" w:hAnchor="page" w:xAlign="center" w:yAlign="bottom"/>
      <w:ind w:left="2880"/>
    </w:pPr>
    <w:rPr>
      <w:rFonts w:ascii="Courier New" w:hAnsi="Courier New"/>
      <w:caps/>
    </w:rPr>
  </w:style>
  <w:style w:type="paragraph" w:styleId="Header">
    <w:name w:val="header"/>
    <w:basedOn w:val="Normal"/>
    <w:semiHidden/>
    <w:rsid w:val="0072594D"/>
    <w:pPr>
      <w:tabs>
        <w:tab w:val="center" w:pos="4320"/>
        <w:tab w:val="right" w:pos="8640"/>
      </w:tabs>
    </w:pPr>
  </w:style>
  <w:style w:type="paragraph" w:styleId="Footer">
    <w:name w:val="footer"/>
    <w:basedOn w:val="Normal"/>
    <w:semiHidden/>
    <w:rsid w:val="0072594D"/>
    <w:pPr>
      <w:tabs>
        <w:tab w:val="center" w:pos="4320"/>
        <w:tab w:val="right" w:pos="8640"/>
      </w:tabs>
    </w:pPr>
  </w:style>
  <w:style w:type="paragraph" w:styleId="ListParagraph">
    <w:name w:val="List Paragraph"/>
    <w:basedOn w:val="Normal"/>
    <w:uiPriority w:val="34"/>
    <w:qFormat/>
    <w:rsid w:val="00D348EC"/>
    <w:pPr>
      <w:ind w:left="720"/>
      <w:contextualSpacing/>
    </w:pPr>
  </w:style>
  <w:style w:type="paragraph" w:styleId="BalloonText">
    <w:name w:val="Balloon Text"/>
    <w:basedOn w:val="Normal"/>
    <w:link w:val="BalloonTextChar"/>
    <w:uiPriority w:val="99"/>
    <w:semiHidden/>
    <w:unhideWhenUsed/>
    <w:rsid w:val="00CF5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B6"/>
    <w:rPr>
      <w:rFonts w:ascii="Segoe UI" w:hAnsi="Segoe UI" w:cs="Segoe UI"/>
      <w:sz w:val="18"/>
      <w:szCs w:val="18"/>
    </w:rPr>
  </w:style>
  <w:style w:type="character" w:customStyle="1" w:styleId="zzmpTrailerItem">
    <w:name w:val="zzmpTrailerItem"/>
    <w:basedOn w:val="DefaultParagraphFont"/>
    <w:rsid w:val="00D01538"/>
    <w:rPr>
      <w:rFonts w:ascii="Arial" w:hAnsi="Arial" w:cs="Times New Roman"/>
      <w:dstrike w:val="0"/>
      <w:noProof/>
      <w:color w:val="auto"/>
      <w:spacing w:val="0"/>
      <w:position w:val="0"/>
      <w:sz w:val="16"/>
      <w:szCs w:val="16"/>
      <w:u w:val="none"/>
      <w:effect w:val="none"/>
      <w:vertAlign w:val="baseline"/>
    </w:rPr>
  </w:style>
  <w:style w:type="paragraph" w:customStyle="1" w:styleId="Lentslevel1">
    <w:name w:val="Lents level 1"/>
    <w:basedOn w:val="Normal"/>
    <w:rsid w:val="00E35DFE"/>
    <w:pPr>
      <w:numPr>
        <w:numId w:val="4"/>
      </w:numPr>
    </w:pPr>
    <w:rPr>
      <w:szCs w:val="24"/>
    </w:rPr>
  </w:style>
  <w:style w:type="character" w:customStyle="1" w:styleId="DeltaViewInsertion">
    <w:name w:val="DeltaView Insertion"/>
    <w:rsid w:val="00E35DFE"/>
    <w:rPr>
      <w:color w:val="0000FF"/>
      <w:u w:val="double"/>
    </w:rPr>
  </w:style>
  <w:style w:type="paragraph" w:customStyle="1" w:styleId="leveesIGAlevela">
    <w:name w:val="levees IGA level a"/>
    <w:basedOn w:val="Lentslevel1"/>
    <w:rsid w:val="00E35DFE"/>
    <w:pPr>
      <w:numPr>
        <w:ilvl w:val="1"/>
      </w:numPr>
      <w:tabs>
        <w:tab w:val="clear" w:pos="1440"/>
        <w:tab w:val="num" w:pos="1080"/>
      </w:tabs>
      <w:ind w:left="1080"/>
    </w:pPr>
  </w:style>
  <w:style w:type="character" w:styleId="CommentReference">
    <w:name w:val="annotation reference"/>
    <w:basedOn w:val="DefaultParagraphFont"/>
    <w:uiPriority w:val="99"/>
    <w:semiHidden/>
    <w:unhideWhenUsed/>
    <w:rsid w:val="002100A9"/>
    <w:rPr>
      <w:sz w:val="16"/>
      <w:szCs w:val="16"/>
    </w:rPr>
  </w:style>
  <w:style w:type="paragraph" w:styleId="CommentText">
    <w:name w:val="annotation text"/>
    <w:basedOn w:val="Normal"/>
    <w:link w:val="CommentTextChar"/>
    <w:uiPriority w:val="99"/>
    <w:semiHidden/>
    <w:unhideWhenUsed/>
    <w:rsid w:val="002100A9"/>
    <w:rPr>
      <w:sz w:val="20"/>
    </w:rPr>
  </w:style>
  <w:style w:type="character" w:customStyle="1" w:styleId="CommentTextChar">
    <w:name w:val="Comment Text Char"/>
    <w:basedOn w:val="DefaultParagraphFont"/>
    <w:link w:val="CommentText"/>
    <w:uiPriority w:val="99"/>
    <w:semiHidden/>
    <w:rsid w:val="002100A9"/>
  </w:style>
  <w:style w:type="paragraph" w:styleId="CommentSubject">
    <w:name w:val="annotation subject"/>
    <w:basedOn w:val="CommentText"/>
    <w:next w:val="CommentText"/>
    <w:link w:val="CommentSubjectChar"/>
    <w:uiPriority w:val="99"/>
    <w:semiHidden/>
    <w:unhideWhenUsed/>
    <w:rsid w:val="002100A9"/>
    <w:rPr>
      <w:b/>
      <w:bCs/>
    </w:rPr>
  </w:style>
  <w:style w:type="character" w:customStyle="1" w:styleId="CommentSubjectChar">
    <w:name w:val="Comment Subject Char"/>
    <w:basedOn w:val="CommentTextChar"/>
    <w:link w:val="CommentSubject"/>
    <w:uiPriority w:val="99"/>
    <w:semiHidden/>
    <w:rsid w:val="002100A9"/>
    <w:rPr>
      <w:b/>
      <w:bCs/>
    </w:rPr>
  </w:style>
  <w:style w:type="paragraph" w:styleId="Revision">
    <w:name w:val="Revision"/>
    <w:hidden/>
    <w:uiPriority w:val="99"/>
    <w:semiHidden/>
    <w:rsid w:val="00613180"/>
    <w:rPr>
      <w:sz w:val="24"/>
    </w:rPr>
  </w:style>
  <w:style w:type="paragraph" w:styleId="BodyText">
    <w:name w:val="Body Text"/>
    <w:basedOn w:val="Normal"/>
    <w:link w:val="BodyTextChar"/>
    <w:uiPriority w:val="99"/>
    <w:unhideWhenUsed/>
    <w:rsid w:val="00B9438B"/>
    <w:pPr>
      <w:spacing w:after="120"/>
    </w:pPr>
  </w:style>
  <w:style w:type="character" w:customStyle="1" w:styleId="BodyTextChar">
    <w:name w:val="Body Text Char"/>
    <w:basedOn w:val="DefaultParagraphFont"/>
    <w:link w:val="BodyText"/>
    <w:uiPriority w:val="99"/>
    <w:rsid w:val="00B9438B"/>
    <w:rPr>
      <w:sz w:val="24"/>
    </w:rPr>
  </w:style>
  <w:style w:type="paragraph" w:styleId="FootnoteText">
    <w:name w:val="footnote text"/>
    <w:basedOn w:val="Normal"/>
    <w:link w:val="FootnoteTextChar"/>
    <w:uiPriority w:val="99"/>
    <w:semiHidden/>
    <w:unhideWhenUsed/>
    <w:rsid w:val="007F715A"/>
    <w:rPr>
      <w:sz w:val="20"/>
    </w:rPr>
  </w:style>
  <w:style w:type="character" w:customStyle="1" w:styleId="FootnoteTextChar">
    <w:name w:val="Footnote Text Char"/>
    <w:basedOn w:val="DefaultParagraphFont"/>
    <w:link w:val="FootnoteText"/>
    <w:uiPriority w:val="99"/>
    <w:semiHidden/>
    <w:rsid w:val="007F715A"/>
  </w:style>
  <w:style w:type="character" w:styleId="FootnoteReference">
    <w:name w:val="footnote reference"/>
    <w:basedOn w:val="DefaultParagraphFont"/>
    <w:uiPriority w:val="99"/>
    <w:semiHidden/>
    <w:unhideWhenUsed/>
    <w:rsid w:val="007F7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2616-29C8-4903-ADF3-DEDE2815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METRO</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Jane Phillis</dc:creator>
  <cp:lastModifiedBy>Condit, Jeffrey G.</cp:lastModifiedBy>
  <cp:revision>3</cp:revision>
  <cp:lastPrinted>2017-04-13T15:29:00Z</cp:lastPrinted>
  <dcterms:created xsi:type="dcterms:W3CDTF">2017-06-09T21:08:00Z</dcterms:created>
  <dcterms:modified xsi:type="dcterms:W3CDTF">2017-06-09T21:17:00Z</dcterms:modified>
</cp:coreProperties>
</file>