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51B" w:rsidRPr="00015B76" w:rsidRDefault="009B6BB9" w:rsidP="009D3747">
      <w:r>
        <w:rPr>
          <w:noProof/>
        </w:rPr>
        <w:drawing>
          <wp:inline distT="0" distB="0" distL="0" distR="0" wp14:anchorId="743A93C1" wp14:editId="0643404A">
            <wp:extent cx="2745895" cy="68148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L_logoprime.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6034" cy="686485"/>
                    </a:xfrm>
                    <a:prstGeom prst="rect">
                      <a:avLst/>
                    </a:prstGeom>
                  </pic:spPr>
                </pic:pic>
              </a:graphicData>
            </a:graphic>
          </wp:inline>
        </w:drawing>
      </w:r>
    </w:p>
    <w:p w:rsidR="00015B76" w:rsidRPr="00015B76" w:rsidRDefault="00015B76" w:rsidP="009D3747"/>
    <w:p w:rsidR="00C67FA4" w:rsidRPr="005D3A16" w:rsidRDefault="00C67FA4" w:rsidP="00803FD0">
      <w:pPr>
        <w:tabs>
          <w:tab w:val="left" w:pos="960"/>
        </w:tabs>
        <w:rPr>
          <w:rFonts w:asciiTheme="minorHAnsi" w:hAnsiTheme="minorHAnsi" w:cstheme="minorHAnsi"/>
          <w:szCs w:val="22"/>
        </w:rPr>
      </w:pPr>
      <w:r w:rsidRPr="00803FD0">
        <w:rPr>
          <w:rFonts w:asciiTheme="minorHAnsi" w:hAnsiTheme="minorHAnsi" w:cstheme="minorHAnsi"/>
          <w:b/>
          <w:szCs w:val="22"/>
        </w:rPr>
        <w:t>Date:</w:t>
      </w:r>
      <w:r w:rsidRPr="005D3A16">
        <w:rPr>
          <w:rFonts w:asciiTheme="minorHAnsi" w:hAnsiTheme="minorHAnsi" w:cstheme="minorHAnsi"/>
          <w:szCs w:val="22"/>
        </w:rPr>
        <w:t xml:space="preserve"> </w:t>
      </w:r>
      <w:r w:rsidRPr="005D3A16">
        <w:rPr>
          <w:rFonts w:asciiTheme="minorHAnsi" w:hAnsiTheme="minorHAnsi" w:cstheme="minorHAnsi"/>
          <w:szCs w:val="22"/>
        </w:rPr>
        <w:tab/>
      </w:r>
      <w:r w:rsidR="00252BF3">
        <w:rPr>
          <w:rFonts w:asciiTheme="minorHAnsi" w:hAnsiTheme="minorHAnsi" w:cstheme="minorHAnsi"/>
          <w:szCs w:val="22"/>
        </w:rPr>
        <w:t>November 18</w:t>
      </w:r>
      <w:r w:rsidR="000C2A12" w:rsidRPr="005D3A16">
        <w:rPr>
          <w:rFonts w:asciiTheme="minorHAnsi" w:hAnsiTheme="minorHAnsi" w:cstheme="minorHAnsi"/>
          <w:szCs w:val="22"/>
        </w:rPr>
        <w:t>, 2014</w:t>
      </w:r>
    </w:p>
    <w:p w:rsidR="005D3A16" w:rsidRPr="009641A0" w:rsidRDefault="005D3A16" w:rsidP="00803FD0">
      <w:pPr>
        <w:tabs>
          <w:tab w:val="left" w:pos="960"/>
        </w:tabs>
        <w:rPr>
          <w:rFonts w:asciiTheme="minorHAnsi" w:hAnsiTheme="minorHAnsi" w:cstheme="minorHAnsi"/>
          <w:szCs w:val="22"/>
        </w:rPr>
      </w:pPr>
    </w:p>
    <w:p w:rsidR="00C67FA4" w:rsidRPr="005D3A16" w:rsidRDefault="00C67FA4" w:rsidP="00803FD0">
      <w:pPr>
        <w:tabs>
          <w:tab w:val="left" w:pos="960"/>
        </w:tabs>
        <w:rPr>
          <w:rFonts w:asciiTheme="minorHAnsi" w:hAnsiTheme="minorHAnsi" w:cstheme="minorHAnsi"/>
          <w:szCs w:val="22"/>
        </w:rPr>
      </w:pPr>
      <w:r w:rsidRPr="00803FD0">
        <w:rPr>
          <w:rFonts w:asciiTheme="minorHAnsi" w:hAnsiTheme="minorHAnsi" w:cstheme="minorHAnsi"/>
          <w:b/>
          <w:szCs w:val="22"/>
        </w:rPr>
        <w:t>To:</w:t>
      </w:r>
      <w:r w:rsidRPr="005D3A16">
        <w:rPr>
          <w:rFonts w:asciiTheme="minorHAnsi" w:hAnsiTheme="minorHAnsi" w:cstheme="minorHAnsi"/>
          <w:szCs w:val="22"/>
        </w:rPr>
        <w:tab/>
      </w:r>
      <w:r w:rsidR="005D3A16" w:rsidRPr="005D3A16">
        <w:rPr>
          <w:rFonts w:asciiTheme="minorHAnsi" w:hAnsiTheme="minorHAnsi" w:cstheme="minorHAnsi"/>
          <w:szCs w:val="22"/>
        </w:rPr>
        <w:t xml:space="preserve">ODOT </w:t>
      </w:r>
      <w:r w:rsidR="0051321A" w:rsidRPr="005D3A16">
        <w:rPr>
          <w:rFonts w:asciiTheme="minorHAnsi" w:hAnsiTheme="minorHAnsi" w:cstheme="minorHAnsi"/>
          <w:szCs w:val="22"/>
        </w:rPr>
        <w:t>Project Management Team</w:t>
      </w:r>
    </w:p>
    <w:p w:rsidR="005D3A16" w:rsidRPr="009641A0" w:rsidRDefault="005D3A16" w:rsidP="00803FD0">
      <w:pPr>
        <w:tabs>
          <w:tab w:val="left" w:pos="960"/>
        </w:tabs>
        <w:rPr>
          <w:rFonts w:asciiTheme="minorHAnsi" w:hAnsiTheme="minorHAnsi" w:cstheme="minorHAnsi"/>
          <w:szCs w:val="22"/>
        </w:rPr>
      </w:pPr>
    </w:p>
    <w:p w:rsidR="009641A0" w:rsidRDefault="00C67FA4" w:rsidP="001A615A">
      <w:pPr>
        <w:tabs>
          <w:tab w:val="left" w:pos="960"/>
        </w:tabs>
        <w:spacing w:after="120"/>
        <w:rPr>
          <w:rFonts w:asciiTheme="minorHAnsi" w:hAnsiTheme="minorHAnsi" w:cstheme="minorHAnsi"/>
          <w:szCs w:val="22"/>
        </w:rPr>
      </w:pPr>
      <w:r w:rsidRPr="00803FD0">
        <w:rPr>
          <w:rFonts w:asciiTheme="minorHAnsi" w:hAnsiTheme="minorHAnsi" w:cstheme="minorHAnsi"/>
          <w:b/>
          <w:szCs w:val="22"/>
        </w:rPr>
        <w:t>From:</w:t>
      </w:r>
      <w:r w:rsidRPr="005D3A16">
        <w:rPr>
          <w:rFonts w:asciiTheme="minorHAnsi" w:hAnsiTheme="minorHAnsi" w:cstheme="minorHAnsi"/>
          <w:szCs w:val="22"/>
        </w:rPr>
        <w:tab/>
      </w:r>
      <w:r w:rsidR="005D3A16" w:rsidRPr="005D3A16">
        <w:rPr>
          <w:rFonts w:asciiTheme="minorHAnsi" w:hAnsiTheme="minorHAnsi" w:cstheme="minorHAnsi"/>
          <w:szCs w:val="22"/>
        </w:rPr>
        <w:t>Richard Seals, Chief Financial Officer</w:t>
      </w:r>
    </w:p>
    <w:p w:rsidR="005D3A16" w:rsidRPr="005D3A16" w:rsidRDefault="009641A0" w:rsidP="009641A0">
      <w:pPr>
        <w:tabs>
          <w:tab w:val="left" w:pos="960"/>
        </w:tabs>
        <w:rPr>
          <w:rFonts w:asciiTheme="minorHAnsi" w:hAnsiTheme="minorHAnsi" w:cstheme="minorHAnsi"/>
          <w:szCs w:val="22"/>
        </w:rPr>
      </w:pPr>
      <w:r>
        <w:rPr>
          <w:rFonts w:asciiTheme="minorHAnsi" w:hAnsiTheme="minorHAnsi" w:cstheme="minorHAnsi"/>
          <w:szCs w:val="22"/>
        </w:rPr>
        <w:tab/>
        <w:t>Zach Pelz, Associate Planner</w:t>
      </w:r>
    </w:p>
    <w:p w:rsidR="00C67FA4" w:rsidRPr="005D3A16" w:rsidRDefault="00C67FA4" w:rsidP="00803FD0">
      <w:pPr>
        <w:tabs>
          <w:tab w:val="left" w:pos="960"/>
        </w:tabs>
        <w:rPr>
          <w:rFonts w:asciiTheme="minorHAnsi" w:hAnsiTheme="minorHAnsi" w:cstheme="minorHAnsi"/>
          <w:szCs w:val="22"/>
        </w:rPr>
      </w:pPr>
    </w:p>
    <w:p w:rsidR="00C67FA4" w:rsidRPr="005D3A16" w:rsidRDefault="009D3747" w:rsidP="00803FD0">
      <w:pPr>
        <w:tabs>
          <w:tab w:val="left" w:pos="990"/>
        </w:tabs>
        <w:rPr>
          <w:rFonts w:asciiTheme="minorHAnsi" w:hAnsiTheme="minorHAnsi" w:cstheme="minorHAnsi"/>
          <w:szCs w:val="22"/>
        </w:rPr>
      </w:pPr>
      <w:r w:rsidRPr="00803FD0">
        <w:rPr>
          <w:rFonts w:asciiTheme="minorHAnsi" w:hAnsiTheme="minorHAnsi" w:cstheme="minorHAnsi"/>
          <w:b/>
          <w:szCs w:val="22"/>
        </w:rPr>
        <w:t>Subject:</w:t>
      </w:r>
      <w:r w:rsidR="0051321A" w:rsidRPr="00803FD0">
        <w:rPr>
          <w:rFonts w:asciiTheme="minorHAnsi" w:hAnsiTheme="minorHAnsi" w:cstheme="minorHAnsi"/>
          <w:b/>
          <w:szCs w:val="22"/>
        </w:rPr>
        <w:tab/>
      </w:r>
      <w:r w:rsidR="000C2A12" w:rsidRPr="00803FD0">
        <w:rPr>
          <w:rFonts w:asciiTheme="minorHAnsi" w:hAnsiTheme="minorHAnsi" w:cstheme="minorHAnsi"/>
          <w:szCs w:val="22"/>
        </w:rPr>
        <w:t xml:space="preserve">Technical Memorandum No. </w:t>
      </w:r>
      <w:r w:rsidR="001D0094" w:rsidRPr="00803FD0">
        <w:rPr>
          <w:rFonts w:asciiTheme="minorHAnsi" w:hAnsiTheme="minorHAnsi" w:cstheme="minorHAnsi"/>
          <w:szCs w:val="22"/>
        </w:rPr>
        <w:t>4</w:t>
      </w:r>
      <w:r w:rsidR="000C2A12" w:rsidRPr="005D3A16">
        <w:rPr>
          <w:rFonts w:asciiTheme="minorHAnsi" w:hAnsiTheme="minorHAnsi" w:cstheme="minorHAnsi"/>
          <w:szCs w:val="22"/>
        </w:rPr>
        <w:t xml:space="preserve">: </w:t>
      </w:r>
      <w:r w:rsidR="009641A0">
        <w:rPr>
          <w:rFonts w:asciiTheme="minorHAnsi" w:hAnsiTheme="minorHAnsi" w:cstheme="minorHAnsi"/>
          <w:szCs w:val="22"/>
        </w:rPr>
        <w:t xml:space="preserve"> </w:t>
      </w:r>
      <w:r w:rsidR="00A24EE2" w:rsidRPr="005D3A16">
        <w:rPr>
          <w:rFonts w:asciiTheme="minorHAnsi" w:hAnsiTheme="minorHAnsi" w:cstheme="minorHAnsi"/>
          <w:szCs w:val="22"/>
        </w:rPr>
        <w:t>Forecast Funding/Local Funding Sources</w:t>
      </w:r>
    </w:p>
    <w:p w:rsidR="00EF72F8" w:rsidRPr="009641A0" w:rsidRDefault="00EF72F8" w:rsidP="005D3A16">
      <w:pPr>
        <w:pBdr>
          <w:bottom w:val="single" w:sz="6" w:space="1" w:color="auto"/>
        </w:pBdr>
        <w:rPr>
          <w:rFonts w:asciiTheme="minorHAnsi" w:hAnsiTheme="minorHAnsi" w:cstheme="minorHAnsi"/>
          <w:szCs w:val="22"/>
        </w:rPr>
      </w:pPr>
    </w:p>
    <w:p w:rsidR="00015B76" w:rsidRPr="009641A0" w:rsidRDefault="00015B76" w:rsidP="005D3A16">
      <w:pPr>
        <w:tabs>
          <w:tab w:val="left" w:pos="900"/>
        </w:tabs>
        <w:rPr>
          <w:rFonts w:asciiTheme="minorHAnsi" w:hAnsiTheme="minorHAnsi" w:cstheme="minorHAnsi"/>
          <w:szCs w:val="22"/>
        </w:rPr>
      </w:pPr>
    </w:p>
    <w:p w:rsidR="005D3A16" w:rsidRPr="00803FD0" w:rsidRDefault="005D3A16" w:rsidP="00803FD0">
      <w:pPr>
        <w:pStyle w:val="Heading2"/>
        <w:rPr>
          <w:rFonts w:asciiTheme="minorHAnsi" w:hAnsiTheme="minorHAnsi" w:cstheme="minorHAnsi"/>
          <w:szCs w:val="22"/>
        </w:rPr>
      </w:pPr>
      <w:r w:rsidRPr="00803FD0">
        <w:rPr>
          <w:rFonts w:asciiTheme="minorHAnsi" w:hAnsiTheme="minorHAnsi" w:cstheme="minorHAnsi"/>
          <w:szCs w:val="22"/>
        </w:rPr>
        <w:t>Purpose</w:t>
      </w:r>
    </w:p>
    <w:p w:rsidR="002B3939" w:rsidRPr="009641A0" w:rsidRDefault="002B3939" w:rsidP="00803FD0">
      <w:pPr>
        <w:pStyle w:val="Heading2"/>
        <w:rPr>
          <w:rFonts w:asciiTheme="minorHAnsi" w:hAnsiTheme="minorHAnsi" w:cstheme="minorHAnsi"/>
          <w:b w:val="0"/>
          <w:szCs w:val="22"/>
        </w:rPr>
      </w:pPr>
      <w:r w:rsidRPr="005D3A16">
        <w:rPr>
          <w:rFonts w:asciiTheme="minorHAnsi" w:hAnsiTheme="minorHAnsi" w:cstheme="minorHAnsi"/>
          <w:b w:val="0"/>
          <w:szCs w:val="22"/>
        </w:rPr>
        <w:t xml:space="preserve">This memorandum documents </w:t>
      </w:r>
      <w:r w:rsidR="00B40F5B" w:rsidRPr="005D3A16">
        <w:rPr>
          <w:rFonts w:asciiTheme="minorHAnsi" w:hAnsiTheme="minorHAnsi" w:cstheme="minorHAnsi"/>
          <w:b w:val="0"/>
          <w:szCs w:val="22"/>
        </w:rPr>
        <w:t xml:space="preserve">the </w:t>
      </w:r>
      <w:r w:rsidR="005D3A16" w:rsidRPr="005D3A16">
        <w:rPr>
          <w:rFonts w:asciiTheme="minorHAnsi" w:hAnsiTheme="minorHAnsi" w:cstheme="minorHAnsi"/>
          <w:b w:val="0"/>
          <w:szCs w:val="22"/>
        </w:rPr>
        <w:t xml:space="preserve">City of West Linn’s </w:t>
      </w:r>
      <w:r w:rsidRPr="005D3A16">
        <w:rPr>
          <w:rFonts w:asciiTheme="minorHAnsi" w:hAnsiTheme="minorHAnsi" w:cstheme="minorHAnsi"/>
          <w:b w:val="0"/>
          <w:szCs w:val="22"/>
        </w:rPr>
        <w:t>existing and expected sources of transportation revenues</w:t>
      </w:r>
      <w:r w:rsidR="006A41C8" w:rsidRPr="009641A0">
        <w:rPr>
          <w:rFonts w:asciiTheme="minorHAnsi" w:hAnsiTheme="minorHAnsi" w:cstheme="minorHAnsi"/>
          <w:b w:val="0"/>
          <w:szCs w:val="22"/>
        </w:rPr>
        <w:t xml:space="preserve"> and expenses</w:t>
      </w:r>
      <w:r w:rsidRPr="009641A0">
        <w:rPr>
          <w:rFonts w:asciiTheme="minorHAnsi" w:hAnsiTheme="minorHAnsi" w:cstheme="minorHAnsi"/>
          <w:b w:val="0"/>
          <w:szCs w:val="22"/>
        </w:rPr>
        <w:t xml:space="preserve"> between </w:t>
      </w:r>
      <w:r w:rsidR="006A41C8" w:rsidRPr="009641A0">
        <w:rPr>
          <w:rFonts w:asciiTheme="minorHAnsi" w:hAnsiTheme="minorHAnsi" w:cstheme="minorHAnsi"/>
          <w:b w:val="0"/>
          <w:szCs w:val="22"/>
        </w:rPr>
        <w:t>2014</w:t>
      </w:r>
      <w:r w:rsidRPr="009641A0">
        <w:rPr>
          <w:rFonts w:asciiTheme="minorHAnsi" w:hAnsiTheme="minorHAnsi" w:cstheme="minorHAnsi"/>
          <w:b w:val="0"/>
          <w:szCs w:val="22"/>
        </w:rPr>
        <w:t xml:space="preserve"> and 2040.  The City’s 2014-2015 biennial </w:t>
      </w:r>
      <w:proofErr w:type="gramStart"/>
      <w:r w:rsidRPr="009641A0">
        <w:rPr>
          <w:rFonts w:asciiTheme="minorHAnsi" w:hAnsiTheme="minorHAnsi" w:cstheme="minorHAnsi"/>
          <w:b w:val="0"/>
          <w:szCs w:val="22"/>
        </w:rPr>
        <w:t>budget</w:t>
      </w:r>
      <w:proofErr w:type="gramEnd"/>
      <w:r w:rsidRPr="009641A0">
        <w:rPr>
          <w:rFonts w:asciiTheme="minorHAnsi" w:hAnsiTheme="minorHAnsi" w:cstheme="minorHAnsi"/>
          <w:b w:val="0"/>
          <w:szCs w:val="22"/>
        </w:rPr>
        <w:t xml:space="preserve"> and five year forecast provide the </w:t>
      </w:r>
      <w:r w:rsidR="00B40F5B" w:rsidRPr="009641A0">
        <w:rPr>
          <w:rFonts w:asciiTheme="minorHAnsi" w:hAnsiTheme="minorHAnsi" w:cstheme="minorHAnsi"/>
          <w:b w:val="0"/>
          <w:szCs w:val="22"/>
        </w:rPr>
        <w:t>basis for</w:t>
      </w:r>
      <w:r w:rsidRPr="009641A0">
        <w:rPr>
          <w:rFonts w:asciiTheme="minorHAnsi" w:hAnsiTheme="minorHAnsi" w:cstheme="minorHAnsi"/>
          <w:b w:val="0"/>
          <w:szCs w:val="22"/>
        </w:rPr>
        <w:t xml:space="preserve"> the information herein.  </w:t>
      </w:r>
    </w:p>
    <w:p w:rsidR="005D3A16" w:rsidRPr="00803FD0" w:rsidRDefault="005D3A16" w:rsidP="00803FD0">
      <w:pPr>
        <w:rPr>
          <w:rFonts w:asciiTheme="minorHAnsi" w:hAnsiTheme="minorHAnsi" w:cstheme="minorHAnsi"/>
          <w:szCs w:val="22"/>
        </w:rPr>
      </w:pPr>
    </w:p>
    <w:p w:rsidR="005D3A16" w:rsidRPr="00803FD0" w:rsidRDefault="005D3A16" w:rsidP="00803FD0">
      <w:pPr>
        <w:rPr>
          <w:rFonts w:asciiTheme="minorHAnsi" w:hAnsiTheme="minorHAnsi" w:cstheme="minorHAnsi"/>
          <w:b/>
          <w:szCs w:val="22"/>
        </w:rPr>
      </w:pPr>
      <w:r w:rsidRPr="00803FD0">
        <w:rPr>
          <w:rFonts w:asciiTheme="minorHAnsi" w:hAnsiTheme="minorHAnsi" w:cstheme="minorHAnsi"/>
          <w:b/>
          <w:szCs w:val="22"/>
        </w:rPr>
        <w:t>Background</w:t>
      </w:r>
    </w:p>
    <w:p w:rsidR="00A84D55" w:rsidRPr="00803FD0" w:rsidRDefault="0009540A" w:rsidP="00803FD0">
      <w:pPr>
        <w:pStyle w:val="Heading2"/>
        <w:rPr>
          <w:rFonts w:asciiTheme="minorHAnsi" w:hAnsiTheme="minorHAnsi" w:cstheme="minorHAnsi"/>
          <w:szCs w:val="22"/>
        </w:rPr>
      </w:pPr>
      <w:r w:rsidRPr="005D3A16">
        <w:rPr>
          <w:rFonts w:asciiTheme="minorHAnsi" w:hAnsiTheme="minorHAnsi" w:cstheme="minorHAnsi"/>
          <w:b w:val="0"/>
          <w:szCs w:val="22"/>
        </w:rPr>
        <w:t xml:space="preserve">West Linn’s </w:t>
      </w:r>
      <w:r w:rsidR="00A84D55" w:rsidRPr="005D3A16">
        <w:rPr>
          <w:rFonts w:asciiTheme="minorHAnsi" w:hAnsiTheme="minorHAnsi" w:cstheme="minorHAnsi"/>
          <w:b w:val="0"/>
          <w:szCs w:val="22"/>
        </w:rPr>
        <w:t>economy is</w:t>
      </w:r>
      <w:r w:rsidRPr="005D3A16">
        <w:rPr>
          <w:rFonts w:asciiTheme="minorHAnsi" w:hAnsiTheme="minorHAnsi" w:cstheme="minorHAnsi"/>
          <w:b w:val="0"/>
          <w:szCs w:val="22"/>
        </w:rPr>
        <w:t xml:space="preserve"> closely</w:t>
      </w:r>
      <w:r w:rsidR="00A84D55" w:rsidRPr="005D3A16">
        <w:rPr>
          <w:rFonts w:asciiTheme="minorHAnsi" w:hAnsiTheme="minorHAnsi" w:cstheme="minorHAnsi"/>
          <w:b w:val="0"/>
          <w:szCs w:val="22"/>
        </w:rPr>
        <w:t xml:space="preserve"> linked with </w:t>
      </w:r>
      <w:r w:rsidRPr="005D3A16">
        <w:rPr>
          <w:rFonts w:asciiTheme="minorHAnsi" w:hAnsiTheme="minorHAnsi" w:cstheme="minorHAnsi"/>
          <w:b w:val="0"/>
          <w:szCs w:val="22"/>
        </w:rPr>
        <w:t>the economy of the Portland Metropolitan Area</w:t>
      </w:r>
      <w:r w:rsidR="00A84D55" w:rsidRPr="005D3A16">
        <w:rPr>
          <w:rFonts w:asciiTheme="minorHAnsi" w:hAnsiTheme="minorHAnsi" w:cstheme="minorHAnsi"/>
          <w:b w:val="0"/>
          <w:szCs w:val="22"/>
        </w:rPr>
        <w:t xml:space="preserve">, which is based on manufacturing, national and international trade, and service industries.  Primarily a residential community, West Linn has a low level of industry and </w:t>
      </w:r>
      <w:r w:rsidR="00A84D55" w:rsidRPr="000342C9">
        <w:rPr>
          <w:rFonts w:asciiTheme="minorHAnsi" w:hAnsiTheme="minorHAnsi" w:cstheme="minorHAnsi"/>
          <w:b w:val="0"/>
          <w:szCs w:val="22"/>
        </w:rPr>
        <w:t>retail-</w:t>
      </w:r>
      <w:r w:rsidR="00A84D55" w:rsidRPr="000342C9">
        <w:rPr>
          <w:rFonts w:asciiTheme="minorHAnsi" w:hAnsiTheme="minorHAnsi" w:cstheme="minorHAnsi"/>
          <w:b w:val="0"/>
          <w:bCs w:val="0"/>
          <w:iCs w:val="0"/>
          <w:szCs w:val="22"/>
        </w:rPr>
        <w:t>based commercial activit</w:t>
      </w:r>
      <w:r w:rsidR="00DF3FDD" w:rsidRPr="000342C9">
        <w:rPr>
          <w:rFonts w:asciiTheme="minorHAnsi" w:hAnsiTheme="minorHAnsi" w:cstheme="minorHAnsi"/>
          <w:b w:val="0"/>
          <w:szCs w:val="22"/>
        </w:rPr>
        <w:t xml:space="preserve">y. </w:t>
      </w:r>
      <w:r w:rsidR="00A84D55" w:rsidRPr="000342C9">
        <w:rPr>
          <w:rFonts w:asciiTheme="minorHAnsi" w:hAnsiTheme="minorHAnsi" w:cstheme="minorHAnsi"/>
          <w:b w:val="0"/>
          <w:szCs w:val="22"/>
        </w:rPr>
        <w:t>The</w:t>
      </w:r>
      <w:r w:rsidR="00A84D55" w:rsidRPr="00803FD0">
        <w:rPr>
          <w:rFonts w:asciiTheme="minorHAnsi" w:hAnsiTheme="minorHAnsi" w:cstheme="minorHAnsi"/>
          <w:b w:val="0"/>
          <w:szCs w:val="22"/>
        </w:rPr>
        <w:t xml:space="preserve"> City’s population </w:t>
      </w:r>
      <w:r w:rsidR="002C6B5F" w:rsidRPr="00803FD0">
        <w:rPr>
          <w:rFonts w:asciiTheme="minorHAnsi" w:hAnsiTheme="minorHAnsi" w:cstheme="minorHAnsi"/>
          <w:b w:val="0"/>
          <w:szCs w:val="22"/>
        </w:rPr>
        <w:t>has grown</w:t>
      </w:r>
      <w:r w:rsidR="00A84D55" w:rsidRPr="00803FD0">
        <w:rPr>
          <w:rFonts w:asciiTheme="minorHAnsi" w:hAnsiTheme="minorHAnsi" w:cstheme="minorHAnsi"/>
          <w:b w:val="0"/>
          <w:szCs w:val="22"/>
        </w:rPr>
        <w:t xml:space="preserve"> steadily</w:t>
      </w:r>
      <w:r w:rsidR="002C6B5F" w:rsidRPr="00803FD0">
        <w:rPr>
          <w:rFonts w:asciiTheme="minorHAnsi" w:hAnsiTheme="minorHAnsi" w:cstheme="minorHAnsi"/>
          <w:b w:val="0"/>
          <w:szCs w:val="22"/>
        </w:rPr>
        <w:t xml:space="preserve"> </w:t>
      </w:r>
      <w:r w:rsidR="00A84D55" w:rsidRPr="00803FD0">
        <w:rPr>
          <w:rFonts w:asciiTheme="minorHAnsi" w:hAnsiTheme="minorHAnsi" w:cstheme="minorHAnsi"/>
          <w:b w:val="0"/>
          <w:szCs w:val="22"/>
        </w:rPr>
        <w:t>but</w:t>
      </w:r>
      <w:r w:rsidR="002C6B5F" w:rsidRPr="00803FD0">
        <w:rPr>
          <w:rFonts w:asciiTheme="minorHAnsi" w:hAnsiTheme="minorHAnsi" w:cstheme="minorHAnsi"/>
          <w:b w:val="0"/>
          <w:szCs w:val="22"/>
        </w:rPr>
        <w:t xml:space="preserve"> has</w:t>
      </w:r>
      <w:r w:rsidR="00A84D55" w:rsidRPr="00803FD0">
        <w:rPr>
          <w:rFonts w:asciiTheme="minorHAnsi" w:hAnsiTheme="minorHAnsi" w:cstheme="minorHAnsi"/>
          <w:b w:val="0"/>
          <w:szCs w:val="22"/>
        </w:rPr>
        <w:t xml:space="preserve"> leveled off</w:t>
      </w:r>
      <w:r w:rsidR="002C6B5F" w:rsidRPr="00803FD0">
        <w:rPr>
          <w:rFonts w:asciiTheme="minorHAnsi" w:hAnsiTheme="minorHAnsi" w:cstheme="minorHAnsi"/>
          <w:b w:val="0"/>
          <w:szCs w:val="22"/>
        </w:rPr>
        <w:t xml:space="preserve"> in recent years</w:t>
      </w:r>
      <w:r w:rsidR="00A84D55" w:rsidRPr="00803FD0">
        <w:rPr>
          <w:rFonts w:asciiTheme="minorHAnsi" w:hAnsiTheme="minorHAnsi" w:cstheme="minorHAnsi"/>
          <w:b w:val="0"/>
          <w:szCs w:val="22"/>
        </w:rPr>
        <w:t xml:space="preserve">.  </w:t>
      </w:r>
      <w:r w:rsidR="002C6B5F" w:rsidRPr="00803FD0">
        <w:rPr>
          <w:rFonts w:asciiTheme="minorHAnsi" w:hAnsiTheme="minorHAnsi" w:cstheme="minorHAnsi"/>
          <w:b w:val="0"/>
          <w:szCs w:val="22"/>
        </w:rPr>
        <w:t>In 1860, West Linn was home to just 225 residents, growing to 1,628 b</w:t>
      </w:r>
      <w:r w:rsidR="00A84D55" w:rsidRPr="00803FD0">
        <w:rPr>
          <w:rFonts w:asciiTheme="minorHAnsi" w:hAnsiTheme="minorHAnsi" w:cstheme="minorHAnsi"/>
          <w:b w:val="0"/>
          <w:szCs w:val="22"/>
        </w:rPr>
        <w:t>y 1920</w:t>
      </w:r>
      <w:r w:rsidR="002C6B5F" w:rsidRPr="00803FD0">
        <w:rPr>
          <w:rFonts w:asciiTheme="minorHAnsi" w:hAnsiTheme="minorHAnsi" w:cstheme="minorHAnsi"/>
          <w:b w:val="0"/>
          <w:szCs w:val="22"/>
        </w:rPr>
        <w:t xml:space="preserve">. The population grew to </w:t>
      </w:r>
      <w:r w:rsidR="00A84D55" w:rsidRPr="00803FD0">
        <w:rPr>
          <w:rFonts w:asciiTheme="minorHAnsi" w:hAnsiTheme="minorHAnsi" w:cstheme="minorHAnsi"/>
          <w:b w:val="0"/>
          <w:szCs w:val="22"/>
        </w:rPr>
        <w:t>2,923</w:t>
      </w:r>
      <w:r w:rsidR="002C6B5F" w:rsidRPr="00803FD0">
        <w:rPr>
          <w:rFonts w:asciiTheme="minorHAnsi" w:hAnsiTheme="minorHAnsi" w:cstheme="minorHAnsi"/>
          <w:b w:val="0"/>
          <w:szCs w:val="22"/>
        </w:rPr>
        <w:t xml:space="preserve"> in 1960</w:t>
      </w:r>
      <w:r w:rsidR="00A84D55" w:rsidRPr="00803FD0">
        <w:rPr>
          <w:rFonts w:asciiTheme="minorHAnsi" w:hAnsiTheme="minorHAnsi" w:cstheme="minorHAnsi"/>
          <w:b w:val="0"/>
          <w:szCs w:val="22"/>
        </w:rPr>
        <w:t>, and by 1970, West Linn had grown to more than 7,000.  The City’s population has continued to grow each year.  Currently, the City’s population, as estimated by the Portland Sta</w:t>
      </w:r>
      <w:r w:rsidRPr="00803FD0">
        <w:rPr>
          <w:rFonts w:asciiTheme="minorHAnsi" w:hAnsiTheme="minorHAnsi" w:cstheme="minorHAnsi"/>
          <w:b w:val="0"/>
          <w:szCs w:val="22"/>
        </w:rPr>
        <w:t>t</w:t>
      </w:r>
      <w:r w:rsidR="00A84D55" w:rsidRPr="00803FD0">
        <w:rPr>
          <w:rFonts w:asciiTheme="minorHAnsi" w:hAnsiTheme="minorHAnsi" w:cstheme="minorHAnsi"/>
          <w:b w:val="0"/>
          <w:szCs w:val="22"/>
        </w:rPr>
        <w:t>e Population Research Center is 25,250.</w:t>
      </w:r>
    </w:p>
    <w:p w:rsidR="00DF3FDD" w:rsidRPr="00803FD0" w:rsidRDefault="00DF3FDD" w:rsidP="00803FD0"/>
    <w:p w:rsidR="00636847" w:rsidRDefault="001D0094" w:rsidP="00803FD0">
      <w:pPr>
        <w:rPr>
          <w:rFonts w:asciiTheme="minorHAnsi" w:hAnsiTheme="minorHAnsi" w:cstheme="minorHAnsi"/>
          <w:b/>
          <w:szCs w:val="22"/>
        </w:rPr>
      </w:pPr>
      <w:r w:rsidRPr="005D3A16">
        <w:rPr>
          <w:rFonts w:asciiTheme="minorHAnsi" w:hAnsiTheme="minorHAnsi" w:cstheme="minorHAnsi"/>
          <w:b/>
          <w:szCs w:val="22"/>
        </w:rPr>
        <w:t>Fiscal Management Policies</w:t>
      </w:r>
    </w:p>
    <w:p w:rsidR="002B3939" w:rsidRDefault="002B3939" w:rsidP="00803FD0">
      <w:pPr>
        <w:rPr>
          <w:rFonts w:asciiTheme="minorHAnsi" w:hAnsiTheme="minorHAnsi" w:cstheme="minorHAnsi"/>
          <w:szCs w:val="22"/>
        </w:rPr>
      </w:pPr>
      <w:r w:rsidRPr="005D3A16">
        <w:rPr>
          <w:rFonts w:asciiTheme="minorHAnsi" w:hAnsiTheme="minorHAnsi" w:cstheme="minorHAnsi"/>
          <w:szCs w:val="22"/>
        </w:rPr>
        <w:t>The City’</w:t>
      </w:r>
      <w:r w:rsidR="00520460" w:rsidRPr="005D3A16">
        <w:rPr>
          <w:rFonts w:asciiTheme="minorHAnsi" w:hAnsiTheme="minorHAnsi" w:cstheme="minorHAnsi"/>
          <w:szCs w:val="22"/>
        </w:rPr>
        <w:t xml:space="preserve">s </w:t>
      </w:r>
      <w:r w:rsidR="002C6B5F" w:rsidRPr="005D3A16">
        <w:rPr>
          <w:rFonts w:asciiTheme="minorHAnsi" w:hAnsiTheme="minorHAnsi" w:cstheme="minorHAnsi"/>
          <w:szCs w:val="22"/>
        </w:rPr>
        <w:t xml:space="preserve">adopted </w:t>
      </w:r>
      <w:r w:rsidR="00520460" w:rsidRPr="005D3A16">
        <w:rPr>
          <w:rFonts w:asciiTheme="minorHAnsi" w:hAnsiTheme="minorHAnsi" w:cstheme="minorHAnsi"/>
          <w:szCs w:val="22"/>
        </w:rPr>
        <w:t>budget</w:t>
      </w:r>
      <w:r w:rsidR="00E243B0" w:rsidRPr="005D3A16">
        <w:rPr>
          <w:rFonts w:asciiTheme="minorHAnsi" w:hAnsiTheme="minorHAnsi" w:cstheme="minorHAnsi"/>
          <w:szCs w:val="22"/>
        </w:rPr>
        <w:t xml:space="preserve"> </w:t>
      </w:r>
      <w:r w:rsidR="00DF3FDD">
        <w:rPr>
          <w:rFonts w:asciiTheme="minorHAnsi" w:hAnsiTheme="minorHAnsi" w:cstheme="minorHAnsi"/>
          <w:szCs w:val="22"/>
        </w:rPr>
        <w:t xml:space="preserve">includes a summary of our financial </w:t>
      </w:r>
      <w:r w:rsidR="002C6B5F" w:rsidRPr="005D3A16">
        <w:rPr>
          <w:rFonts w:asciiTheme="minorHAnsi" w:hAnsiTheme="minorHAnsi" w:cstheme="minorHAnsi"/>
          <w:szCs w:val="22"/>
        </w:rPr>
        <w:t xml:space="preserve">policies </w:t>
      </w:r>
      <w:r w:rsidR="00E243B0" w:rsidRPr="009641A0">
        <w:rPr>
          <w:rFonts w:asciiTheme="minorHAnsi" w:hAnsiTheme="minorHAnsi" w:cstheme="minorHAnsi"/>
          <w:szCs w:val="22"/>
        </w:rPr>
        <w:t xml:space="preserve">regarding </w:t>
      </w:r>
      <w:r w:rsidRPr="009641A0">
        <w:rPr>
          <w:rFonts w:asciiTheme="minorHAnsi" w:hAnsiTheme="minorHAnsi" w:cstheme="minorHAnsi"/>
          <w:szCs w:val="22"/>
        </w:rPr>
        <w:t>revenues, operating budgets, management of capital assets, debt and financial reserves.</w:t>
      </w:r>
      <w:r w:rsidR="00DF3FDD">
        <w:rPr>
          <w:rFonts w:asciiTheme="minorHAnsi" w:hAnsiTheme="minorHAnsi" w:cstheme="minorHAnsi"/>
          <w:szCs w:val="22"/>
        </w:rPr>
        <w:t xml:space="preserve"> Below is a summary of these policies.</w:t>
      </w:r>
    </w:p>
    <w:p w:rsidR="00DF3FDD" w:rsidRPr="009641A0" w:rsidRDefault="00DF3FDD" w:rsidP="00803FD0">
      <w:pPr>
        <w:rPr>
          <w:rFonts w:asciiTheme="minorHAnsi" w:hAnsiTheme="minorHAnsi" w:cstheme="minorHAnsi"/>
          <w:szCs w:val="22"/>
        </w:rPr>
      </w:pPr>
    </w:p>
    <w:p w:rsidR="00520460" w:rsidRDefault="00520460" w:rsidP="00803FD0">
      <w:pPr>
        <w:rPr>
          <w:rFonts w:asciiTheme="minorHAnsi" w:hAnsiTheme="minorHAnsi" w:cstheme="minorHAnsi"/>
          <w:szCs w:val="22"/>
        </w:rPr>
      </w:pPr>
      <w:proofErr w:type="gramStart"/>
      <w:r w:rsidRPr="009641A0">
        <w:rPr>
          <w:rFonts w:asciiTheme="minorHAnsi" w:hAnsiTheme="minorHAnsi" w:cstheme="minorHAnsi"/>
          <w:b/>
          <w:szCs w:val="22"/>
        </w:rPr>
        <w:t>Revenue Policy.</w:t>
      </w:r>
      <w:proofErr w:type="gramEnd"/>
      <w:r w:rsidRPr="009641A0">
        <w:rPr>
          <w:rFonts w:asciiTheme="minorHAnsi" w:hAnsiTheme="minorHAnsi" w:cstheme="minorHAnsi"/>
          <w:szCs w:val="22"/>
        </w:rPr>
        <w:t xml:space="preserve">  The City relies on user charges to fund 100 percent of the direct costs associated with new development.  System development charges (SDCs) fund street, water, sewer, storm water and park improvements necessary to serve a growing population.  It is the City’s policy to maximize the use of these fees in lieu of taxes and subsidies from other City funds, for services that are directly related to new construction.</w:t>
      </w:r>
    </w:p>
    <w:p w:rsidR="00DF3FDD" w:rsidRPr="009641A0" w:rsidRDefault="00DF3FDD" w:rsidP="00803FD0">
      <w:pPr>
        <w:rPr>
          <w:rFonts w:asciiTheme="minorHAnsi" w:hAnsiTheme="minorHAnsi" w:cstheme="minorHAnsi"/>
          <w:szCs w:val="22"/>
        </w:rPr>
      </w:pPr>
    </w:p>
    <w:p w:rsidR="00254B9C" w:rsidRDefault="00254B9C" w:rsidP="00803FD0">
      <w:pPr>
        <w:rPr>
          <w:rFonts w:asciiTheme="minorHAnsi" w:hAnsiTheme="minorHAnsi" w:cstheme="minorHAnsi"/>
          <w:szCs w:val="22"/>
        </w:rPr>
      </w:pPr>
      <w:proofErr w:type="gramStart"/>
      <w:r w:rsidRPr="009641A0">
        <w:rPr>
          <w:rFonts w:asciiTheme="minorHAnsi" w:hAnsiTheme="minorHAnsi" w:cstheme="minorHAnsi"/>
          <w:b/>
          <w:szCs w:val="22"/>
        </w:rPr>
        <w:t>Operating Budget Policy.</w:t>
      </w:r>
      <w:proofErr w:type="gramEnd"/>
      <w:r w:rsidR="00417B08" w:rsidRPr="009641A0">
        <w:rPr>
          <w:rFonts w:asciiTheme="minorHAnsi" w:hAnsiTheme="minorHAnsi" w:cstheme="minorHAnsi"/>
          <w:szCs w:val="22"/>
        </w:rPr>
        <w:t xml:space="preserve">  It is the City’</w:t>
      </w:r>
      <w:r w:rsidR="00FF0CF8" w:rsidRPr="009641A0">
        <w:rPr>
          <w:rFonts w:asciiTheme="minorHAnsi" w:hAnsiTheme="minorHAnsi" w:cstheme="minorHAnsi"/>
          <w:szCs w:val="22"/>
        </w:rPr>
        <w:t>s policy to adopt an</w:t>
      </w:r>
      <w:r w:rsidR="00417B08" w:rsidRPr="009641A0">
        <w:rPr>
          <w:rFonts w:asciiTheme="minorHAnsi" w:hAnsiTheme="minorHAnsi" w:cstheme="minorHAnsi"/>
          <w:szCs w:val="22"/>
        </w:rPr>
        <w:t xml:space="preserve"> operating budget that does not exceed available resources.  Operating resources will be sufficient to support current operating expenditures, transfers, reserves, and contingencies.  Additionally, recurring annual revenues will not be</w:t>
      </w:r>
      <w:r w:rsidR="00FF0CF8" w:rsidRPr="009641A0">
        <w:rPr>
          <w:rFonts w:asciiTheme="minorHAnsi" w:hAnsiTheme="minorHAnsi" w:cstheme="minorHAnsi"/>
          <w:szCs w:val="22"/>
        </w:rPr>
        <w:t xml:space="preserve"> less than</w:t>
      </w:r>
      <w:r w:rsidR="00417B08" w:rsidRPr="009641A0">
        <w:rPr>
          <w:rFonts w:asciiTheme="minorHAnsi" w:hAnsiTheme="minorHAnsi" w:cstheme="minorHAnsi"/>
          <w:szCs w:val="22"/>
        </w:rPr>
        <w:t xml:space="preserve"> recurring </w:t>
      </w:r>
      <w:r w:rsidR="00FF0CF8" w:rsidRPr="009641A0">
        <w:rPr>
          <w:rFonts w:asciiTheme="minorHAnsi" w:hAnsiTheme="minorHAnsi" w:cstheme="minorHAnsi"/>
          <w:szCs w:val="22"/>
        </w:rPr>
        <w:t xml:space="preserve">annual </w:t>
      </w:r>
      <w:r w:rsidR="00417B08" w:rsidRPr="009641A0">
        <w:rPr>
          <w:rFonts w:asciiTheme="minorHAnsi" w:hAnsiTheme="minorHAnsi" w:cstheme="minorHAnsi"/>
          <w:szCs w:val="22"/>
        </w:rPr>
        <w:t>operating expenditures.</w:t>
      </w:r>
    </w:p>
    <w:p w:rsidR="00DF3FDD" w:rsidRPr="009641A0" w:rsidRDefault="00DF3FDD" w:rsidP="00803FD0">
      <w:pPr>
        <w:rPr>
          <w:rFonts w:asciiTheme="minorHAnsi" w:hAnsiTheme="minorHAnsi" w:cstheme="minorHAnsi"/>
          <w:szCs w:val="22"/>
        </w:rPr>
      </w:pPr>
    </w:p>
    <w:p w:rsidR="00417B08" w:rsidRDefault="00417B08" w:rsidP="00803FD0">
      <w:pPr>
        <w:rPr>
          <w:rFonts w:asciiTheme="minorHAnsi" w:hAnsiTheme="minorHAnsi" w:cstheme="minorHAnsi"/>
          <w:szCs w:val="22"/>
        </w:rPr>
      </w:pPr>
      <w:proofErr w:type="gramStart"/>
      <w:r w:rsidRPr="009641A0">
        <w:rPr>
          <w:rFonts w:asciiTheme="minorHAnsi" w:hAnsiTheme="minorHAnsi" w:cstheme="minorHAnsi"/>
          <w:b/>
          <w:szCs w:val="22"/>
        </w:rPr>
        <w:t>Capital Asset Management Policy.</w:t>
      </w:r>
      <w:proofErr w:type="gramEnd"/>
      <w:r w:rsidRPr="009641A0">
        <w:rPr>
          <w:rFonts w:asciiTheme="minorHAnsi" w:hAnsiTheme="minorHAnsi" w:cstheme="minorHAnsi"/>
          <w:szCs w:val="22"/>
        </w:rPr>
        <w:t xml:space="preserve">  The City adopt</w:t>
      </w:r>
      <w:r w:rsidR="00DF3FDD">
        <w:rPr>
          <w:rFonts w:asciiTheme="minorHAnsi" w:hAnsiTheme="minorHAnsi" w:cstheme="minorHAnsi"/>
          <w:szCs w:val="22"/>
        </w:rPr>
        <w:t>s</w:t>
      </w:r>
      <w:r w:rsidRPr="009641A0">
        <w:rPr>
          <w:rFonts w:asciiTheme="minorHAnsi" w:hAnsiTheme="minorHAnsi" w:cstheme="minorHAnsi"/>
          <w:szCs w:val="22"/>
        </w:rPr>
        <w:t xml:space="preserve"> a Capital Improvement Plan </w:t>
      </w:r>
      <w:r w:rsidR="00651DF1">
        <w:rPr>
          <w:rFonts w:asciiTheme="minorHAnsi" w:hAnsiTheme="minorHAnsi" w:cstheme="minorHAnsi"/>
          <w:szCs w:val="22"/>
        </w:rPr>
        <w:t xml:space="preserve">(CIP) </w:t>
      </w:r>
      <w:r w:rsidRPr="009641A0">
        <w:rPr>
          <w:rFonts w:asciiTheme="minorHAnsi" w:hAnsiTheme="minorHAnsi" w:cstheme="minorHAnsi"/>
          <w:szCs w:val="22"/>
        </w:rPr>
        <w:t>and update</w:t>
      </w:r>
      <w:r w:rsidR="00651DF1">
        <w:rPr>
          <w:rFonts w:asciiTheme="minorHAnsi" w:hAnsiTheme="minorHAnsi" w:cstheme="minorHAnsi"/>
          <w:szCs w:val="22"/>
        </w:rPr>
        <w:t>s</w:t>
      </w:r>
      <w:r w:rsidRPr="009641A0">
        <w:rPr>
          <w:rFonts w:asciiTheme="minorHAnsi" w:hAnsiTheme="minorHAnsi" w:cstheme="minorHAnsi"/>
          <w:szCs w:val="22"/>
        </w:rPr>
        <w:t xml:space="preserve"> it periodically.  The CIP </w:t>
      </w:r>
      <w:r w:rsidR="001F4B34" w:rsidRPr="009641A0">
        <w:rPr>
          <w:rFonts w:asciiTheme="minorHAnsi" w:hAnsiTheme="minorHAnsi" w:cstheme="minorHAnsi"/>
          <w:szCs w:val="22"/>
        </w:rPr>
        <w:t>outline</w:t>
      </w:r>
      <w:r w:rsidR="00DF3FDD">
        <w:rPr>
          <w:rFonts w:asciiTheme="minorHAnsi" w:hAnsiTheme="minorHAnsi" w:cstheme="minorHAnsi"/>
          <w:szCs w:val="22"/>
        </w:rPr>
        <w:t>s</w:t>
      </w:r>
      <w:r w:rsidR="001F4B34" w:rsidRPr="009641A0">
        <w:rPr>
          <w:rFonts w:asciiTheme="minorHAnsi" w:hAnsiTheme="minorHAnsi" w:cstheme="minorHAnsi"/>
          <w:szCs w:val="22"/>
        </w:rPr>
        <w:t xml:space="preserve"> the City’s near-term capital investment priorities and </w:t>
      </w:r>
      <w:r w:rsidRPr="009641A0">
        <w:rPr>
          <w:rFonts w:asciiTheme="minorHAnsi" w:hAnsiTheme="minorHAnsi" w:cstheme="minorHAnsi"/>
          <w:szCs w:val="22"/>
        </w:rPr>
        <w:t>provide</w:t>
      </w:r>
      <w:r w:rsidR="00651DF1">
        <w:rPr>
          <w:rFonts w:asciiTheme="minorHAnsi" w:hAnsiTheme="minorHAnsi" w:cstheme="minorHAnsi"/>
          <w:szCs w:val="22"/>
        </w:rPr>
        <w:t>s</w:t>
      </w:r>
      <w:r w:rsidRPr="009641A0">
        <w:rPr>
          <w:rFonts w:asciiTheme="minorHAnsi" w:hAnsiTheme="minorHAnsi" w:cstheme="minorHAnsi"/>
          <w:szCs w:val="22"/>
        </w:rPr>
        <w:t xml:space="preserve"> details on future projects including, </w:t>
      </w:r>
      <w:r w:rsidR="00821CFB" w:rsidRPr="009641A0">
        <w:rPr>
          <w:rFonts w:asciiTheme="minorHAnsi" w:hAnsiTheme="minorHAnsi" w:cstheme="minorHAnsi"/>
          <w:szCs w:val="22"/>
        </w:rPr>
        <w:t xml:space="preserve">estimated costs, sources </w:t>
      </w:r>
      <w:r w:rsidR="001F4B34" w:rsidRPr="009641A0">
        <w:rPr>
          <w:rFonts w:asciiTheme="minorHAnsi" w:hAnsiTheme="minorHAnsi" w:cstheme="minorHAnsi"/>
          <w:szCs w:val="22"/>
        </w:rPr>
        <w:t>of financing</w:t>
      </w:r>
      <w:r w:rsidR="00651DF1">
        <w:rPr>
          <w:rFonts w:asciiTheme="minorHAnsi" w:hAnsiTheme="minorHAnsi" w:cstheme="minorHAnsi"/>
          <w:szCs w:val="22"/>
        </w:rPr>
        <w:t>,</w:t>
      </w:r>
      <w:r w:rsidR="001F4B34" w:rsidRPr="009641A0">
        <w:rPr>
          <w:rFonts w:asciiTheme="minorHAnsi" w:hAnsiTheme="minorHAnsi" w:cstheme="minorHAnsi"/>
          <w:szCs w:val="22"/>
        </w:rPr>
        <w:t xml:space="preserve"> and a full description of (a) the need for </w:t>
      </w:r>
      <w:r w:rsidR="001F4B34" w:rsidRPr="009641A0">
        <w:rPr>
          <w:rFonts w:asciiTheme="minorHAnsi" w:hAnsiTheme="minorHAnsi" w:cstheme="minorHAnsi"/>
          <w:szCs w:val="22"/>
        </w:rPr>
        <w:lastRenderedPageBreak/>
        <w:t>the project and (b) the expected results if the project is approved and implemented.</w:t>
      </w:r>
      <w:r w:rsidR="00B70E75" w:rsidRPr="009641A0">
        <w:rPr>
          <w:rFonts w:asciiTheme="minorHAnsi" w:hAnsiTheme="minorHAnsi" w:cstheme="minorHAnsi"/>
          <w:szCs w:val="22"/>
        </w:rPr>
        <w:t xml:space="preserve">  Operating expenditures are programmed into each capital project plan, including the cost of implementing the plan and all continuing labor, operating and capital outlay costs.</w:t>
      </w:r>
    </w:p>
    <w:p w:rsidR="00DF3FDD" w:rsidRPr="009641A0" w:rsidRDefault="00DF3FDD" w:rsidP="00803FD0">
      <w:pPr>
        <w:rPr>
          <w:rFonts w:asciiTheme="minorHAnsi" w:hAnsiTheme="minorHAnsi" w:cstheme="minorHAnsi"/>
          <w:szCs w:val="22"/>
        </w:rPr>
      </w:pPr>
    </w:p>
    <w:p w:rsidR="00B815E1" w:rsidRDefault="00B815E1" w:rsidP="00803FD0">
      <w:pPr>
        <w:rPr>
          <w:rFonts w:asciiTheme="minorHAnsi" w:hAnsiTheme="minorHAnsi" w:cstheme="minorHAnsi"/>
          <w:szCs w:val="22"/>
        </w:rPr>
      </w:pPr>
      <w:proofErr w:type="gramStart"/>
      <w:r w:rsidRPr="009641A0">
        <w:rPr>
          <w:rFonts w:asciiTheme="minorHAnsi" w:hAnsiTheme="minorHAnsi" w:cstheme="minorHAnsi"/>
          <w:b/>
          <w:szCs w:val="22"/>
        </w:rPr>
        <w:t>Debt Policy.</w:t>
      </w:r>
      <w:proofErr w:type="gramEnd"/>
      <w:r w:rsidRPr="009641A0">
        <w:rPr>
          <w:rFonts w:asciiTheme="minorHAnsi" w:hAnsiTheme="minorHAnsi" w:cstheme="minorHAnsi"/>
          <w:szCs w:val="22"/>
        </w:rPr>
        <w:t xml:space="preserve">  Capital projects financed through the issuance of debt will not be financed for a period which (a) exceeds the expected useful life of the project and (b) is less than 30 percent of the expected useful life of the improvements.</w:t>
      </w:r>
    </w:p>
    <w:p w:rsidR="00DF3FDD" w:rsidRPr="009641A0" w:rsidRDefault="00DF3FDD" w:rsidP="00803FD0">
      <w:pPr>
        <w:rPr>
          <w:rFonts w:asciiTheme="minorHAnsi" w:hAnsiTheme="minorHAnsi" w:cstheme="minorHAnsi"/>
          <w:szCs w:val="22"/>
        </w:rPr>
      </w:pPr>
    </w:p>
    <w:p w:rsidR="00B815E1" w:rsidRPr="009641A0" w:rsidRDefault="00B815E1" w:rsidP="00803FD0">
      <w:pPr>
        <w:rPr>
          <w:rFonts w:asciiTheme="minorHAnsi" w:hAnsiTheme="minorHAnsi" w:cstheme="minorHAnsi"/>
          <w:szCs w:val="22"/>
        </w:rPr>
      </w:pPr>
      <w:r w:rsidRPr="009641A0">
        <w:rPr>
          <w:rFonts w:asciiTheme="minorHAnsi" w:hAnsiTheme="minorHAnsi" w:cstheme="minorHAnsi"/>
          <w:b/>
          <w:szCs w:val="22"/>
        </w:rPr>
        <w:t>Reserve Policy.</w:t>
      </w:r>
      <w:r w:rsidRPr="009641A0">
        <w:rPr>
          <w:rFonts w:asciiTheme="minorHAnsi" w:hAnsiTheme="minorHAnsi" w:cstheme="minorHAnsi"/>
          <w:szCs w:val="22"/>
        </w:rPr>
        <w:t xml:space="preserve">  The City </w:t>
      </w:r>
      <w:r w:rsidR="005D188B" w:rsidRPr="009641A0">
        <w:rPr>
          <w:rFonts w:asciiTheme="minorHAnsi" w:hAnsiTheme="minorHAnsi" w:cstheme="minorHAnsi"/>
          <w:szCs w:val="22"/>
        </w:rPr>
        <w:t>establish</w:t>
      </w:r>
      <w:r w:rsidR="00DF3FDD">
        <w:rPr>
          <w:rFonts w:asciiTheme="minorHAnsi" w:hAnsiTheme="minorHAnsi" w:cstheme="minorHAnsi"/>
          <w:szCs w:val="22"/>
        </w:rPr>
        <w:t>es</w:t>
      </w:r>
      <w:r w:rsidR="005D188B" w:rsidRPr="009641A0">
        <w:rPr>
          <w:rFonts w:asciiTheme="minorHAnsi" w:hAnsiTheme="minorHAnsi" w:cstheme="minorHAnsi"/>
          <w:szCs w:val="22"/>
        </w:rPr>
        <w:t xml:space="preserve"> a contingency reserve to accommodate unanticipated expenditures of a nonrecurring nature.  In accordance with local budget law, the contingency reserve must be equal to at least 10 percent of the Fund’s annual operational expenditures.</w:t>
      </w:r>
    </w:p>
    <w:p w:rsidR="00B815E1" w:rsidRPr="009641A0" w:rsidRDefault="00B815E1" w:rsidP="00803FD0">
      <w:pPr>
        <w:rPr>
          <w:rFonts w:asciiTheme="minorHAnsi" w:hAnsiTheme="minorHAnsi" w:cstheme="minorHAnsi"/>
          <w:szCs w:val="22"/>
        </w:rPr>
      </w:pPr>
    </w:p>
    <w:p w:rsidR="001D0094" w:rsidRDefault="00DF3FDD" w:rsidP="00803FD0">
      <w:pPr>
        <w:rPr>
          <w:rFonts w:asciiTheme="minorHAnsi" w:hAnsiTheme="minorHAnsi" w:cstheme="minorHAnsi"/>
          <w:b/>
          <w:szCs w:val="22"/>
        </w:rPr>
      </w:pPr>
      <w:r w:rsidRPr="00850E9D">
        <w:rPr>
          <w:rFonts w:asciiTheme="minorHAnsi" w:hAnsiTheme="minorHAnsi" w:cstheme="minorHAnsi"/>
          <w:b/>
          <w:szCs w:val="22"/>
        </w:rPr>
        <w:t xml:space="preserve">Transportation </w:t>
      </w:r>
      <w:r w:rsidR="001D0094" w:rsidRPr="00850E9D">
        <w:rPr>
          <w:rFonts w:asciiTheme="minorHAnsi" w:hAnsiTheme="minorHAnsi" w:cstheme="minorHAnsi"/>
          <w:b/>
          <w:szCs w:val="22"/>
        </w:rPr>
        <w:t>Funding Sources</w:t>
      </w:r>
    </w:p>
    <w:p w:rsidR="00FC6397" w:rsidRPr="009641A0" w:rsidRDefault="00EC5E17" w:rsidP="00803FD0">
      <w:pPr>
        <w:rPr>
          <w:rFonts w:asciiTheme="minorHAnsi" w:hAnsiTheme="minorHAnsi" w:cstheme="minorHAnsi"/>
          <w:szCs w:val="22"/>
        </w:rPr>
      </w:pPr>
      <w:r w:rsidRPr="009641A0">
        <w:rPr>
          <w:rFonts w:asciiTheme="minorHAnsi" w:hAnsiTheme="minorHAnsi" w:cstheme="minorHAnsi"/>
          <w:szCs w:val="22"/>
        </w:rPr>
        <w:t>In large part, roadw</w:t>
      </w:r>
      <w:r w:rsidR="00E243B0" w:rsidRPr="009641A0">
        <w:rPr>
          <w:rFonts w:asciiTheme="minorHAnsi" w:hAnsiTheme="minorHAnsi" w:cstheme="minorHAnsi"/>
          <w:szCs w:val="22"/>
        </w:rPr>
        <w:t xml:space="preserve">ay funding is a user fee system; </w:t>
      </w:r>
      <w:r w:rsidRPr="009641A0">
        <w:rPr>
          <w:rFonts w:asciiTheme="minorHAnsi" w:hAnsiTheme="minorHAnsi" w:cstheme="minorHAnsi"/>
          <w:szCs w:val="22"/>
        </w:rPr>
        <w:t xml:space="preserve">users of the system pay for infrastructure through motor vehicle fees (such as gas tax and registration fees) or transit fares.  </w:t>
      </w:r>
      <w:r w:rsidR="00F91196" w:rsidRPr="009641A0">
        <w:rPr>
          <w:rFonts w:asciiTheme="minorHAnsi" w:hAnsiTheme="minorHAnsi" w:cstheme="minorHAnsi"/>
          <w:szCs w:val="22"/>
        </w:rPr>
        <w:t xml:space="preserve">The construction, operation, and maintenance of transportation projects </w:t>
      </w:r>
      <w:r w:rsidR="005D21B8" w:rsidRPr="009641A0">
        <w:rPr>
          <w:rFonts w:asciiTheme="minorHAnsi" w:hAnsiTheme="minorHAnsi" w:cstheme="minorHAnsi"/>
          <w:szCs w:val="22"/>
        </w:rPr>
        <w:t>are</w:t>
      </w:r>
      <w:r w:rsidR="00982BF0" w:rsidRPr="009641A0">
        <w:rPr>
          <w:rFonts w:asciiTheme="minorHAnsi" w:hAnsiTheme="minorHAnsi" w:cstheme="minorHAnsi"/>
          <w:szCs w:val="22"/>
        </w:rPr>
        <w:t xml:space="preserve"> derived</w:t>
      </w:r>
      <w:r w:rsidR="00F91196" w:rsidRPr="009641A0">
        <w:rPr>
          <w:rFonts w:asciiTheme="minorHAnsi" w:hAnsiTheme="minorHAnsi" w:cstheme="minorHAnsi"/>
          <w:szCs w:val="22"/>
        </w:rPr>
        <w:t xml:space="preserve"> f</w:t>
      </w:r>
      <w:r w:rsidR="00386581" w:rsidRPr="009641A0">
        <w:rPr>
          <w:rFonts w:asciiTheme="minorHAnsi" w:hAnsiTheme="minorHAnsi" w:cstheme="minorHAnsi"/>
          <w:szCs w:val="22"/>
        </w:rPr>
        <w:t>rom five main revenue sources: s</w:t>
      </w:r>
      <w:r w:rsidR="00F91196" w:rsidRPr="009641A0">
        <w:rPr>
          <w:rFonts w:asciiTheme="minorHAnsi" w:hAnsiTheme="minorHAnsi" w:cstheme="minorHAnsi"/>
          <w:szCs w:val="22"/>
        </w:rPr>
        <w:t>tate gas tax and license fees; roadway maintenance fees; franchise fees; miscellaneous revenue</w:t>
      </w:r>
      <w:r w:rsidR="00982BF0" w:rsidRPr="009641A0">
        <w:rPr>
          <w:rFonts w:asciiTheme="minorHAnsi" w:hAnsiTheme="minorHAnsi" w:cstheme="minorHAnsi"/>
          <w:szCs w:val="22"/>
        </w:rPr>
        <w:t>s</w:t>
      </w:r>
      <w:r w:rsidR="00F91196" w:rsidRPr="009641A0">
        <w:rPr>
          <w:rFonts w:asciiTheme="minorHAnsi" w:hAnsiTheme="minorHAnsi" w:cstheme="minorHAnsi"/>
          <w:szCs w:val="22"/>
        </w:rPr>
        <w:t>; and, system development charges.</w:t>
      </w:r>
      <w:r w:rsidRPr="009641A0">
        <w:rPr>
          <w:rFonts w:asciiTheme="minorHAnsi" w:hAnsiTheme="minorHAnsi" w:cstheme="minorHAnsi"/>
          <w:szCs w:val="22"/>
        </w:rPr>
        <w:t xml:space="preserve">  Improved vehicle fuel efficiency and increasing transportation capital and maintenance costs have combined to significantly limit available revenues for transportation projects.</w:t>
      </w:r>
    </w:p>
    <w:p w:rsidR="00DF3FDD" w:rsidRDefault="00DF3FDD" w:rsidP="00803FD0">
      <w:pPr>
        <w:rPr>
          <w:rFonts w:asciiTheme="minorHAnsi" w:hAnsiTheme="minorHAnsi" w:cstheme="minorHAnsi"/>
          <w:b/>
          <w:szCs w:val="22"/>
        </w:rPr>
      </w:pPr>
    </w:p>
    <w:p w:rsidR="004B73FA" w:rsidRDefault="00FC6397" w:rsidP="00803FD0">
      <w:pPr>
        <w:rPr>
          <w:rFonts w:asciiTheme="minorHAnsi" w:hAnsiTheme="minorHAnsi" w:cstheme="minorHAnsi"/>
          <w:szCs w:val="22"/>
        </w:rPr>
      </w:pPr>
      <w:proofErr w:type="gramStart"/>
      <w:r w:rsidRPr="009641A0">
        <w:rPr>
          <w:rFonts w:asciiTheme="minorHAnsi" w:hAnsiTheme="minorHAnsi" w:cstheme="minorHAnsi"/>
          <w:b/>
          <w:szCs w:val="22"/>
        </w:rPr>
        <w:t>State Fuel Tax and Vehicle License Fee.</w:t>
      </w:r>
      <w:proofErr w:type="gramEnd"/>
      <w:r w:rsidRPr="009641A0">
        <w:rPr>
          <w:rFonts w:asciiTheme="minorHAnsi" w:hAnsiTheme="minorHAnsi" w:cstheme="minorHAnsi"/>
          <w:szCs w:val="22"/>
        </w:rPr>
        <w:t xml:space="preserve">  </w:t>
      </w:r>
      <w:r w:rsidR="00DF3FDD">
        <w:rPr>
          <w:rFonts w:asciiTheme="minorHAnsi" w:hAnsiTheme="minorHAnsi" w:cstheme="minorHAnsi"/>
          <w:szCs w:val="22"/>
        </w:rPr>
        <w:t xml:space="preserve">Approximately </w:t>
      </w:r>
      <w:r w:rsidR="00BD69A6">
        <w:rPr>
          <w:rFonts w:asciiTheme="minorHAnsi" w:hAnsiTheme="minorHAnsi" w:cstheme="minorHAnsi"/>
          <w:szCs w:val="22"/>
        </w:rPr>
        <w:t>19</w:t>
      </w:r>
      <w:r w:rsidR="00D475B1" w:rsidRPr="009641A0">
        <w:rPr>
          <w:rFonts w:asciiTheme="minorHAnsi" w:hAnsiTheme="minorHAnsi" w:cstheme="minorHAnsi"/>
          <w:szCs w:val="22"/>
        </w:rPr>
        <w:t xml:space="preserve"> percent of the City’s revenue is derived from intergovernmental revenue sharing.  </w:t>
      </w:r>
      <w:r w:rsidRPr="009641A0">
        <w:rPr>
          <w:rFonts w:asciiTheme="minorHAnsi" w:hAnsiTheme="minorHAnsi" w:cstheme="minorHAnsi"/>
          <w:szCs w:val="22"/>
        </w:rPr>
        <w:t>State gas tax and license fees are distributed to municipalities by the State of Oregon.  By statute, the money must be used for any road-related purpose, with one percent dedicated to bicycle path development.  The State of Oregon Highway Trust Fund collects taxes and fees on fuel, vehicle licenses, and permits. A portion is paid to cities annually on a per capita basis.  Oregon gas taxes are collected as a fixed amount per gallon of gasoline served.  The gas tax in Oregon was increased in 2011</w:t>
      </w:r>
      <w:r w:rsidR="004B73FA" w:rsidRPr="009641A0">
        <w:rPr>
          <w:rFonts w:asciiTheme="minorHAnsi" w:hAnsiTheme="minorHAnsi" w:cstheme="minorHAnsi"/>
          <w:szCs w:val="22"/>
        </w:rPr>
        <w:t>,</w:t>
      </w:r>
      <w:r w:rsidRPr="009641A0">
        <w:rPr>
          <w:rFonts w:asciiTheme="minorHAnsi" w:hAnsiTheme="minorHAnsi" w:cstheme="minorHAnsi"/>
          <w:szCs w:val="22"/>
        </w:rPr>
        <w:t xml:space="preserve"> from $0.24 per gallon to $0.30 per gallon.  The tax does not vary with gas price changes, nor is there an adjustment for inflation. </w:t>
      </w:r>
      <w:r w:rsidR="004B73FA" w:rsidRPr="009641A0">
        <w:rPr>
          <w:rFonts w:asciiTheme="minorHAnsi" w:hAnsiTheme="minorHAnsi" w:cstheme="minorHAnsi"/>
          <w:szCs w:val="22"/>
        </w:rPr>
        <w:t xml:space="preserve"> </w:t>
      </w:r>
      <w:r w:rsidRPr="009641A0">
        <w:rPr>
          <w:rFonts w:asciiTheme="minorHAnsi" w:hAnsiTheme="minorHAnsi" w:cstheme="minorHAnsi"/>
          <w:szCs w:val="22"/>
        </w:rPr>
        <w:t xml:space="preserve">The net revenue collected </w:t>
      </w:r>
      <w:r w:rsidR="00F75A95" w:rsidRPr="009641A0">
        <w:rPr>
          <w:rFonts w:asciiTheme="minorHAnsi" w:hAnsiTheme="minorHAnsi" w:cstheme="minorHAnsi"/>
          <w:szCs w:val="22"/>
        </w:rPr>
        <w:t xml:space="preserve">from this source </w:t>
      </w:r>
      <w:r w:rsidRPr="009641A0">
        <w:rPr>
          <w:rFonts w:asciiTheme="minorHAnsi" w:hAnsiTheme="minorHAnsi" w:cstheme="minorHAnsi"/>
          <w:szCs w:val="22"/>
        </w:rPr>
        <w:t>has gradually eroded as the cost to construct and repair transp</w:t>
      </w:r>
      <w:r w:rsidR="00F75A95" w:rsidRPr="009641A0">
        <w:rPr>
          <w:rFonts w:asciiTheme="minorHAnsi" w:hAnsiTheme="minorHAnsi" w:cstheme="minorHAnsi"/>
          <w:szCs w:val="22"/>
        </w:rPr>
        <w:t xml:space="preserve">ortation systems has increased and as new vehicles become increasingly </w:t>
      </w:r>
      <w:r w:rsidRPr="009641A0">
        <w:rPr>
          <w:rFonts w:asciiTheme="minorHAnsi" w:hAnsiTheme="minorHAnsi" w:cstheme="minorHAnsi"/>
          <w:szCs w:val="22"/>
        </w:rPr>
        <w:t>fuel efficien</w:t>
      </w:r>
      <w:r w:rsidR="00F75A95" w:rsidRPr="009641A0">
        <w:rPr>
          <w:rFonts w:asciiTheme="minorHAnsi" w:hAnsiTheme="minorHAnsi" w:cstheme="minorHAnsi"/>
          <w:szCs w:val="22"/>
        </w:rPr>
        <w:t>t</w:t>
      </w:r>
      <w:r w:rsidR="004B73FA" w:rsidRPr="009641A0">
        <w:rPr>
          <w:rFonts w:asciiTheme="minorHAnsi" w:hAnsiTheme="minorHAnsi" w:cstheme="minorHAnsi"/>
          <w:szCs w:val="22"/>
        </w:rPr>
        <w:t>.</w:t>
      </w:r>
    </w:p>
    <w:p w:rsidR="00DF3FDD" w:rsidRPr="009641A0" w:rsidRDefault="00DF3FDD" w:rsidP="00803FD0">
      <w:pPr>
        <w:rPr>
          <w:rFonts w:asciiTheme="minorHAnsi" w:hAnsiTheme="minorHAnsi" w:cstheme="minorHAnsi"/>
          <w:szCs w:val="22"/>
        </w:rPr>
      </w:pPr>
    </w:p>
    <w:p w:rsidR="00D07F7B" w:rsidRDefault="00D07F7B" w:rsidP="00D07F7B">
      <w:pPr>
        <w:rPr>
          <w:rFonts w:asciiTheme="minorHAnsi" w:hAnsiTheme="minorHAnsi" w:cstheme="minorHAnsi"/>
          <w:szCs w:val="22"/>
        </w:rPr>
      </w:pPr>
      <w:r w:rsidRPr="009641A0">
        <w:rPr>
          <w:rFonts w:asciiTheme="minorHAnsi" w:hAnsiTheme="minorHAnsi" w:cstheme="minorHAnsi"/>
          <w:szCs w:val="22"/>
        </w:rPr>
        <w:t xml:space="preserve">Oregon vehicle registration fees are collected as a fixed amount at the time a vehicle is registered with the Department of Motor Vehicles.  Vehicle registration fees in Oregon have recently increased to $172 per four year term for new light vehicles, and $86 per two year term for light vehicle renewals.  There is no adjustment for inflation tied to registration fees.  If revenues received from the state increase in future years, then the anticipated need for other revenue sources explained in this chapter (e.g. fees, etc.) can be decreased. </w:t>
      </w:r>
    </w:p>
    <w:p w:rsidR="00D07F7B" w:rsidRDefault="00D07F7B" w:rsidP="00803FD0">
      <w:pPr>
        <w:rPr>
          <w:rFonts w:asciiTheme="minorHAnsi" w:hAnsiTheme="minorHAnsi" w:cstheme="minorHAnsi"/>
          <w:szCs w:val="22"/>
        </w:rPr>
      </w:pPr>
    </w:p>
    <w:p w:rsidR="00D475B1" w:rsidRDefault="00D475B1" w:rsidP="00803FD0">
      <w:pPr>
        <w:rPr>
          <w:rFonts w:asciiTheme="minorHAnsi" w:hAnsiTheme="minorHAnsi" w:cstheme="minorHAnsi"/>
          <w:szCs w:val="22"/>
        </w:rPr>
      </w:pPr>
      <w:r w:rsidRPr="009641A0">
        <w:rPr>
          <w:rFonts w:asciiTheme="minorHAnsi" w:hAnsiTheme="minorHAnsi" w:cstheme="minorHAnsi"/>
          <w:szCs w:val="22"/>
        </w:rPr>
        <w:t>The City’s 2014-</w:t>
      </w:r>
      <w:proofErr w:type="gramStart"/>
      <w:r w:rsidRPr="009641A0">
        <w:rPr>
          <w:rFonts w:asciiTheme="minorHAnsi" w:hAnsiTheme="minorHAnsi" w:cstheme="minorHAnsi"/>
          <w:szCs w:val="22"/>
        </w:rPr>
        <w:t>2015,</w:t>
      </w:r>
      <w:proofErr w:type="gramEnd"/>
      <w:r w:rsidRPr="009641A0">
        <w:rPr>
          <w:rFonts w:asciiTheme="minorHAnsi" w:hAnsiTheme="minorHAnsi" w:cstheme="minorHAnsi"/>
          <w:szCs w:val="22"/>
        </w:rPr>
        <w:t xml:space="preserve"> budget forecasts a total of $2.8 million in street fund revenues from shared revenue sources (fuel tax and vehicle license fee).  Since 20</w:t>
      </w:r>
      <w:r w:rsidR="00862FA6" w:rsidRPr="009641A0">
        <w:rPr>
          <w:rFonts w:asciiTheme="minorHAnsi" w:hAnsiTheme="minorHAnsi" w:cstheme="minorHAnsi"/>
          <w:szCs w:val="22"/>
        </w:rPr>
        <w:t>09</w:t>
      </w:r>
      <w:r w:rsidRPr="009641A0">
        <w:rPr>
          <w:rFonts w:asciiTheme="minorHAnsi" w:hAnsiTheme="minorHAnsi" w:cstheme="minorHAnsi"/>
          <w:szCs w:val="22"/>
        </w:rPr>
        <w:t xml:space="preserve">, </w:t>
      </w:r>
      <w:r w:rsidR="00F75A95" w:rsidRPr="009641A0">
        <w:rPr>
          <w:rFonts w:asciiTheme="minorHAnsi" w:hAnsiTheme="minorHAnsi" w:cstheme="minorHAnsi"/>
          <w:szCs w:val="22"/>
        </w:rPr>
        <w:t>these</w:t>
      </w:r>
      <w:r w:rsidRPr="009641A0">
        <w:rPr>
          <w:rFonts w:asciiTheme="minorHAnsi" w:hAnsiTheme="minorHAnsi" w:cstheme="minorHAnsi"/>
          <w:szCs w:val="22"/>
        </w:rPr>
        <w:t xml:space="preserve"> revenues have increased an average of </w:t>
      </w:r>
      <w:r w:rsidR="00862FA6" w:rsidRPr="009641A0">
        <w:rPr>
          <w:rFonts w:asciiTheme="minorHAnsi" w:hAnsiTheme="minorHAnsi" w:cstheme="minorHAnsi"/>
          <w:szCs w:val="22"/>
        </w:rPr>
        <w:t>1</w:t>
      </w:r>
      <w:r w:rsidRPr="009641A0">
        <w:rPr>
          <w:rFonts w:asciiTheme="minorHAnsi" w:hAnsiTheme="minorHAnsi" w:cstheme="minorHAnsi"/>
          <w:szCs w:val="22"/>
        </w:rPr>
        <w:t xml:space="preserve"> percent per year.  </w:t>
      </w:r>
      <w:r w:rsidR="00862FA6" w:rsidRPr="009641A0">
        <w:rPr>
          <w:rFonts w:asciiTheme="minorHAnsi" w:hAnsiTheme="minorHAnsi" w:cstheme="minorHAnsi"/>
          <w:szCs w:val="22"/>
        </w:rPr>
        <w:t>The City expects that a 1 percent increase per year from this source is likely through 2040.</w:t>
      </w:r>
    </w:p>
    <w:p w:rsidR="00DF3FDD" w:rsidRPr="009641A0" w:rsidRDefault="00DF3FDD" w:rsidP="00803FD0">
      <w:pPr>
        <w:rPr>
          <w:rFonts w:asciiTheme="minorHAnsi" w:hAnsiTheme="minorHAnsi" w:cstheme="minorHAnsi"/>
          <w:szCs w:val="22"/>
        </w:rPr>
      </w:pPr>
    </w:p>
    <w:p w:rsidR="00DF3FDD" w:rsidRPr="009641A0" w:rsidRDefault="00DF3FDD" w:rsidP="00803FD0">
      <w:pPr>
        <w:rPr>
          <w:rFonts w:asciiTheme="minorHAnsi" w:hAnsiTheme="minorHAnsi" w:cstheme="minorHAnsi"/>
          <w:szCs w:val="22"/>
        </w:rPr>
      </w:pPr>
    </w:p>
    <w:p w:rsidR="00A33E97" w:rsidRDefault="00402853" w:rsidP="00803FD0">
      <w:pPr>
        <w:rPr>
          <w:rFonts w:asciiTheme="minorHAnsi" w:hAnsiTheme="minorHAnsi" w:cstheme="minorHAnsi"/>
          <w:szCs w:val="22"/>
        </w:rPr>
      </w:pPr>
      <w:proofErr w:type="gramStart"/>
      <w:r w:rsidRPr="009641A0">
        <w:rPr>
          <w:rFonts w:asciiTheme="minorHAnsi" w:hAnsiTheme="minorHAnsi" w:cstheme="minorHAnsi"/>
          <w:b/>
          <w:szCs w:val="22"/>
        </w:rPr>
        <w:t>Roadway Maintenance Fee.</w:t>
      </w:r>
      <w:proofErr w:type="gramEnd"/>
      <w:r w:rsidRPr="009641A0">
        <w:rPr>
          <w:rFonts w:asciiTheme="minorHAnsi" w:hAnsiTheme="minorHAnsi" w:cstheme="minorHAnsi"/>
          <w:szCs w:val="22"/>
        </w:rPr>
        <w:t xml:space="preserve">  </w:t>
      </w:r>
      <w:r w:rsidR="00A33E97" w:rsidRPr="009641A0">
        <w:rPr>
          <w:rFonts w:asciiTheme="minorHAnsi" w:hAnsiTheme="minorHAnsi" w:cstheme="minorHAnsi"/>
          <w:szCs w:val="22"/>
        </w:rPr>
        <w:t>Charges for water, sewer, surface water, park maintenance and street maintenance are charged to all users in the City of West Linn.  These fees ar</w:t>
      </w:r>
      <w:r w:rsidR="000C08F3" w:rsidRPr="009641A0">
        <w:rPr>
          <w:rFonts w:asciiTheme="minorHAnsi" w:hAnsiTheme="minorHAnsi" w:cstheme="minorHAnsi"/>
          <w:szCs w:val="22"/>
        </w:rPr>
        <w:t>e established through the C</w:t>
      </w:r>
      <w:r w:rsidR="00A33E97" w:rsidRPr="009641A0">
        <w:rPr>
          <w:rFonts w:asciiTheme="minorHAnsi" w:hAnsiTheme="minorHAnsi" w:cstheme="minorHAnsi"/>
          <w:szCs w:val="22"/>
        </w:rPr>
        <w:t>ity</w:t>
      </w:r>
      <w:r w:rsidR="000C08F3" w:rsidRPr="009641A0">
        <w:rPr>
          <w:rFonts w:asciiTheme="minorHAnsi" w:hAnsiTheme="minorHAnsi" w:cstheme="minorHAnsi"/>
          <w:szCs w:val="22"/>
        </w:rPr>
        <w:t>’s fees and charges resolution which is updated annually</w:t>
      </w:r>
      <w:r w:rsidR="00A33E97" w:rsidRPr="009641A0">
        <w:rPr>
          <w:rFonts w:asciiTheme="minorHAnsi" w:hAnsiTheme="minorHAnsi" w:cstheme="minorHAnsi"/>
          <w:szCs w:val="22"/>
        </w:rPr>
        <w:t xml:space="preserve">.  The City Council approves rates based on the cost to provide services.  Since 2010, the City’s street fee has increased, on average, </w:t>
      </w:r>
      <w:r w:rsidR="00287E32">
        <w:rPr>
          <w:rFonts w:asciiTheme="minorHAnsi" w:hAnsiTheme="minorHAnsi" w:cstheme="minorHAnsi"/>
          <w:szCs w:val="22"/>
        </w:rPr>
        <w:t>five</w:t>
      </w:r>
      <w:r w:rsidR="00A33E97" w:rsidRPr="009641A0">
        <w:rPr>
          <w:rFonts w:asciiTheme="minorHAnsi" w:hAnsiTheme="minorHAnsi" w:cstheme="minorHAnsi"/>
          <w:szCs w:val="22"/>
        </w:rPr>
        <w:t xml:space="preserve"> percent </w:t>
      </w:r>
      <w:r w:rsidR="00A33E97" w:rsidRPr="009641A0">
        <w:rPr>
          <w:rFonts w:asciiTheme="minorHAnsi" w:hAnsiTheme="minorHAnsi" w:cstheme="minorHAnsi"/>
          <w:szCs w:val="22"/>
        </w:rPr>
        <w:lastRenderedPageBreak/>
        <w:t xml:space="preserve">annually.  </w:t>
      </w:r>
      <w:r w:rsidR="000C08F3" w:rsidRPr="009641A0">
        <w:rPr>
          <w:rFonts w:asciiTheme="minorHAnsi" w:hAnsiTheme="minorHAnsi" w:cstheme="minorHAnsi"/>
          <w:szCs w:val="22"/>
        </w:rPr>
        <w:t>In 2014, the City increased the residential street fee by 75 percent and is considering increasing the commercial street fee cap by 75 percent as well.</w:t>
      </w:r>
    </w:p>
    <w:p w:rsidR="009641A0" w:rsidRPr="009641A0" w:rsidRDefault="009641A0" w:rsidP="00803FD0">
      <w:pPr>
        <w:rPr>
          <w:rFonts w:asciiTheme="minorHAnsi" w:hAnsiTheme="minorHAnsi" w:cstheme="minorHAnsi"/>
          <w:szCs w:val="22"/>
        </w:rPr>
      </w:pPr>
    </w:p>
    <w:p w:rsidR="00A33E97" w:rsidRPr="009641A0" w:rsidRDefault="00A33E97" w:rsidP="00803FD0">
      <w:pPr>
        <w:rPr>
          <w:rFonts w:asciiTheme="minorHAnsi" w:hAnsiTheme="minorHAnsi" w:cstheme="minorHAnsi"/>
          <w:szCs w:val="22"/>
        </w:rPr>
      </w:pPr>
      <w:r w:rsidRPr="009641A0">
        <w:rPr>
          <w:rFonts w:asciiTheme="minorHAnsi" w:hAnsiTheme="minorHAnsi" w:cstheme="minorHAnsi"/>
          <w:szCs w:val="22"/>
        </w:rPr>
        <w:t xml:space="preserve">The </w:t>
      </w:r>
      <w:r w:rsidR="000C08F3" w:rsidRPr="009641A0">
        <w:rPr>
          <w:rFonts w:asciiTheme="minorHAnsi" w:hAnsiTheme="minorHAnsi" w:cstheme="minorHAnsi"/>
          <w:szCs w:val="22"/>
        </w:rPr>
        <w:t xml:space="preserve">2014-2015 </w:t>
      </w:r>
      <w:proofErr w:type="gramStart"/>
      <w:r w:rsidRPr="009641A0">
        <w:rPr>
          <w:rFonts w:asciiTheme="minorHAnsi" w:hAnsiTheme="minorHAnsi" w:cstheme="minorHAnsi"/>
          <w:szCs w:val="22"/>
        </w:rPr>
        <w:t>budget</w:t>
      </w:r>
      <w:proofErr w:type="gramEnd"/>
      <w:r w:rsidRPr="009641A0">
        <w:rPr>
          <w:rFonts w:asciiTheme="minorHAnsi" w:hAnsiTheme="minorHAnsi" w:cstheme="minorHAnsi"/>
          <w:szCs w:val="22"/>
        </w:rPr>
        <w:t xml:space="preserve"> includes a five percent Street Maintenance Fee rate increase in each year of the biennium.  This increase, combined with the increase in the state </w:t>
      </w:r>
      <w:r w:rsidR="003C145E">
        <w:rPr>
          <w:rFonts w:asciiTheme="minorHAnsi" w:hAnsiTheme="minorHAnsi" w:cstheme="minorHAnsi"/>
          <w:szCs w:val="22"/>
        </w:rPr>
        <w:t>fuel</w:t>
      </w:r>
      <w:r w:rsidRPr="009641A0">
        <w:rPr>
          <w:rFonts w:asciiTheme="minorHAnsi" w:hAnsiTheme="minorHAnsi" w:cstheme="minorHAnsi"/>
          <w:szCs w:val="22"/>
        </w:rPr>
        <w:t xml:space="preserve"> tax two years ago, allows the City to maintain its current, yet mediocre, Pavement Condition Index of 61 (on a scale of 0-100).  The City predicts that more than $2 </w:t>
      </w:r>
      <w:r w:rsidR="003C145E">
        <w:rPr>
          <w:rFonts w:asciiTheme="minorHAnsi" w:hAnsiTheme="minorHAnsi" w:cstheme="minorHAnsi"/>
          <w:szCs w:val="22"/>
        </w:rPr>
        <w:t>m</w:t>
      </w:r>
      <w:r w:rsidRPr="009641A0">
        <w:rPr>
          <w:rFonts w:asciiTheme="minorHAnsi" w:hAnsiTheme="minorHAnsi" w:cstheme="minorHAnsi"/>
          <w:szCs w:val="22"/>
        </w:rPr>
        <w:t>illion in street maintenance revenues will be available through the 2014-2015, biennium and that funding for street maintenance will be adequate for the next five years.</w:t>
      </w:r>
    </w:p>
    <w:p w:rsidR="009641A0" w:rsidRDefault="009641A0" w:rsidP="00803FD0">
      <w:pPr>
        <w:rPr>
          <w:rFonts w:asciiTheme="minorHAnsi" w:hAnsiTheme="minorHAnsi" w:cstheme="minorHAnsi"/>
          <w:b/>
          <w:szCs w:val="22"/>
        </w:rPr>
      </w:pPr>
    </w:p>
    <w:p w:rsidR="002125C2" w:rsidRPr="009641A0" w:rsidRDefault="004A6447" w:rsidP="00803FD0">
      <w:pPr>
        <w:rPr>
          <w:rFonts w:asciiTheme="minorHAnsi" w:hAnsiTheme="minorHAnsi" w:cstheme="minorHAnsi"/>
          <w:szCs w:val="22"/>
        </w:rPr>
      </w:pPr>
      <w:proofErr w:type="gramStart"/>
      <w:r w:rsidRPr="009641A0">
        <w:rPr>
          <w:rFonts w:asciiTheme="minorHAnsi" w:hAnsiTheme="minorHAnsi" w:cstheme="minorHAnsi"/>
          <w:b/>
          <w:szCs w:val="22"/>
        </w:rPr>
        <w:t>Franchise and Miscellaneous Fees.</w:t>
      </w:r>
      <w:proofErr w:type="gramEnd"/>
      <w:r w:rsidRPr="009641A0">
        <w:rPr>
          <w:rFonts w:asciiTheme="minorHAnsi" w:hAnsiTheme="minorHAnsi" w:cstheme="minorHAnsi"/>
          <w:szCs w:val="22"/>
        </w:rPr>
        <w:t xml:space="preserve">  </w:t>
      </w:r>
      <w:r w:rsidR="00016C0B" w:rsidRPr="009641A0">
        <w:rPr>
          <w:rFonts w:asciiTheme="minorHAnsi" w:hAnsiTheme="minorHAnsi" w:cstheme="minorHAnsi"/>
          <w:szCs w:val="22"/>
        </w:rPr>
        <w:t xml:space="preserve">The City of West Linn receives </w:t>
      </w:r>
      <w:r w:rsidR="00287E32">
        <w:rPr>
          <w:rFonts w:asciiTheme="minorHAnsi" w:hAnsiTheme="minorHAnsi" w:cstheme="minorHAnsi"/>
          <w:szCs w:val="22"/>
        </w:rPr>
        <w:t>seven</w:t>
      </w:r>
      <w:r w:rsidR="00016C0B" w:rsidRPr="009641A0">
        <w:rPr>
          <w:rFonts w:asciiTheme="minorHAnsi" w:hAnsiTheme="minorHAnsi" w:cstheme="minorHAnsi"/>
          <w:szCs w:val="22"/>
        </w:rPr>
        <w:t xml:space="preserve"> percent of its revenue from franchise fees for the use of public rights of</w:t>
      </w:r>
      <w:r w:rsidR="000C08F3" w:rsidRPr="009641A0">
        <w:rPr>
          <w:rFonts w:asciiTheme="minorHAnsi" w:hAnsiTheme="minorHAnsi" w:cstheme="minorHAnsi"/>
          <w:szCs w:val="22"/>
        </w:rPr>
        <w:t xml:space="preserve"> way for utilities</w:t>
      </w:r>
      <w:r w:rsidR="00016C0B" w:rsidRPr="009641A0">
        <w:rPr>
          <w:rFonts w:asciiTheme="minorHAnsi" w:hAnsiTheme="minorHAnsi" w:cstheme="minorHAnsi"/>
          <w:szCs w:val="22"/>
        </w:rPr>
        <w:t>, solid waste and recycling collection, and similar purchases.  Fees are paid for the right to this access.  The City’s Solid Waste f</w:t>
      </w:r>
      <w:r w:rsidRPr="009641A0">
        <w:rPr>
          <w:rFonts w:asciiTheme="minorHAnsi" w:hAnsiTheme="minorHAnsi" w:cstheme="minorHAnsi"/>
          <w:szCs w:val="22"/>
        </w:rPr>
        <w:t>ranchise fees are receipted to the Street fund</w:t>
      </w:r>
      <w:r w:rsidR="00016C0B" w:rsidRPr="009641A0">
        <w:rPr>
          <w:rFonts w:asciiTheme="minorHAnsi" w:hAnsiTheme="minorHAnsi" w:cstheme="minorHAnsi"/>
          <w:szCs w:val="22"/>
        </w:rPr>
        <w:t xml:space="preserve"> on the rationale that garbage trucks impact street condition.  </w:t>
      </w:r>
      <w:r w:rsidR="002125C2" w:rsidRPr="009641A0">
        <w:rPr>
          <w:rFonts w:asciiTheme="minorHAnsi" w:hAnsiTheme="minorHAnsi" w:cstheme="minorHAnsi"/>
          <w:szCs w:val="22"/>
        </w:rPr>
        <w:t xml:space="preserve">The 2014-2015 </w:t>
      </w:r>
      <w:proofErr w:type="gramStart"/>
      <w:r w:rsidR="002125C2" w:rsidRPr="009641A0">
        <w:rPr>
          <w:rFonts w:asciiTheme="minorHAnsi" w:hAnsiTheme="minorHAnsi" w:cstheme="minorHAnsi"/>
          <w:szCs w:val="22"/>
        </w:rPr>
        <w:t>budget</w:t>
      </w:r>
      <w:proofErr w:type="gramEnd"/>
      <w:r w:rsidR="002125C2" w:rsidRPr="009641A0">
        <w:rPr>
          <w:rFonts w:asciiTheme="minorHAnsi" w:hAnsiTheme="minorHAnsi" w:cstheme="minorHAnsi"/>
          <w:szCs w:val="22"/>
        </w:rPr>
        <w:t xml:space="preserve"> anticipates a total of $248,000 in street fund revenues from franchisees.  Since 2010, street fund revenues collected from this source have increased by about 4.5 percent annually.</w:t>
      </w:r>
    </w:p>
    <w:p w:rsidR="009641A0" w:rsidRDefault="009641A0" w:rsidP="00803FD0">
      <w:pPr>
        <w:rPr>
          <w:rFonts w:asciiTheme="minorHAnsi" w:hAnsiTheme="minorHAnsi" w:cstheme="minorHAnsi"/>
          <w:szCs w:val="22"/>
        </w:rPr>
      </w:pPr>
    </w:p>
    <w:p w:rsidR="004A6447" w:rsidRDefault="004A6447" w:rsidP="00803FD0">
      <w:pPr>
        <w:rPr>
          <w:rFonts w:asciiTheme="minorHAnsi" w:hAnsiTheme="minorHAnsi" w:cstheme="minorHAnsi"/>
          <w:szCs w:val="22"/>
        </w:rPr>
      </w:pPr>
      <w:r w:rsidRPr="009641A0">
        <w:rPr>
          <w:rFonts w:asciiTheme="minorHAnsi" w:hAnsiTheme="minorHAnsi" w:cstheme="minorHAnsi"/>
          <w:szCs w:val="22"/>
        </w:rPr>
        <w:t>Prior to fiscal year 2009, franchise fee revenue from the City’s electrical</w:t>
      </w:r>
      <w:r w:rsidR="000C08F3" w:rsidRPr="009641A0">
        <w:rPr>
          <w:rFonts w:asciiTheme="minorHAnsi" w:hAnsiTheme="minorHAnsi" w:cstheme="minorHAnsi"/>
          <w:szCs w:val="22"/>
        </w:rPr>
        <w:t>-power</w:t>
      </w:r>
      <w:r w:rsidRPr="009641A0">
        <w:rPr>
          <w:rFonts w:asciiTheme="minorHAnsi" w:hAnsiTheme="minorHAnsi" w:cstheme="minorHAnsi"/>
          <w:szCs w:val="22"/>
        </w:rPr>
        <w:t xml:space="preserve"> franchise agreement (approximately $500,000) was receipted to the Street fund. </w:t>
      </w:r>
      <w:r w:rsidR="00016C0B" w:rsidRPr="009641A0">
        <w:rPr>
          <w:rFonts w:asciiTheme="minorHAnsi" w:hAnsiTheme="minorHAnsi" w:cstheme="minorHAnsi"/>
          <w:szCs w:val="22"/>
        </w:rPr>
        <w:t xml:space="preserve"> </w:t>
      </w:r>
      <w:r w:rsidRPr="009641A0">
        <w:rPr>
          <w:rFonts w:asciiTheme="minorHAnsi" w:hAnsiTheme="minorHAnsi" w:cstheme="minorHAnsi"/>
          <w:szCs w:val="22"/>
        </w:rPr>
        <w:t xml:space="preserve">Because franchise fee revenue is discretionary, funds were </w:t>
      </w:r>
      <w:r w:rsidR="000C08F3" w:rsidRPr="009641A0">
        <w:rPr>
          <w:rFonts w:asciiTheme="minorHAnsi" w:hAnsiTheme="minorHAnsi" w:cstheme="minorHAnsi"/>
          <w:szCs w:val="22"/>
        </w:rPr>
        <w:t>reallocated</w:t>
      </w:r>
      <w:r w:rsidRPr="009641A0">
        <w:rPr>
          <w:rFonts w:asciiTheme="minorHAnsi" w:hAnsiTheme="minorHAnsi" w:cstheme="minorHAnsi"/>
          <w:szCs w:val="22"/>
        </w:rPr>
        <w:t xml:space="preserve"> to another fund in fiscal year 2009. </w:t>
      </w:r>
      <w:r w:rsidR="00016C0B" w:rsidRPr="009641A0">
        <w:rPr>
          <w:rFonts w:asciiTheme="minorHAnsi" w:hAnsiTheme="minorHAnsi" w:cstheme="minorHAnsi"/>
          <w:szCs w:val="22"/>
        </w:rPr>
        <w:t xml:space="preserve"> </w:t>
      </w:r>
      <w:r w:rsidR="002125C2" w:rsidRPr="009641A0">
        <w:rPr>
          <w:rFonts w:asciiTheme="minorHAnsi" w:hAnsiTheme="minorHAnsi" w:cstheme="minorHAnsi"/>
          <w:szCs w:val="22"/>
        </w:rPr>
        <w:t xml:space="preserve">The City adopted a Roadway Maintenance Fee in </w:t>
      </w:r>
      <w:r w:rsidR="009641A0">
        <w:rPr>
          <w:rFonts w:asciiTheme="minorHAnsi" w:hAnsiTheme="minorHAnsi" w:cstheme="minorHAnsi"/>
          <w:szCs w:val="22"/>
        </w:rPr>
        <w:t>2008</w:t>
      </w:r>
      <w:r w:rsidR="002125C2" w:rsidRPr="009641A0">
        <w:rPr>
          <w:rFonts w:asciiTheme="minorHAnsi" w:hAnsiTheme="minorHAnsi" w:cstheme="minorHAnsi"/>
          <w:szCs w:val="22"/>
        </w:rPr>
        <w:t xml:space="preserve"> to </w:t>
      </w:r>
      <w:r w:rsidRPr="009641A0">
        <w:rPr>
          <w:rFonts w:asciiTheme="minorHAnsi" w:hAnsiTheme="minorHAnsi" w:cstheme="minorHAnsi"/>
          <w:szCs w:val="22"/>
        </w:rPr>
        <w:t>fil</w:t>
      </w:r>
      <w:r w:rsidR="002125C2" w:rsidRPr="009641A0">
        <w:rPr>
          <w:rFonts w:asciiTheme="minorHAnsi" w:hAnsiTheme="minorHAnsi" w:cstheme="minorHAnsi"/>
          <w:szCs w:val="22"/>
        </w:rPr>
        <w:t>l</w:t>
      </w:r>
      <w:r w:rsidRPr="009641A0">
        <w:rPr>
          <w:rFonts w:asciiTheme="minorHAnsi" w:hAnsiTheme="minorHAnsi" w:cstheme="minorHAnsi"/>
          <w:szCs w:val="22"/>
        </w:rPr>
        <w:t xml:space="preserve"> the funding gap that was created when the discretionary electrical</w:t>
      </w:r>
      <w:r w:rsidR="000C08F3" w:rsidRPr="009641A0">
        <w:rPr>
          <w:rFonts w:asciiTheme="minorHAnsi" w:hAnsiTheme="minorHAnsi" w:cstheme="minorHAnsi"/>
          <w:szCs w:val="22"/>
        </w:rPr>
        <w:t>-power</w:t>
      </w:r>
      <w:r w:rsidRPr="009641A0">
        <w:rPr>
          <w:rFonts w:asciiTheme="minorHAnsi" w:hAnsiTheme="minorHAnsi" w:cstheme="minorHAnsi"/>
          <w:szCs w:val="22"/>
        </w:rPr>
        <w:t xml:space="preserve"> franchise fee revenues were allocated to another fund.  </w:t>
      </w:r>
      <w:r w:rsidR="002125C2" w:rsidRPr="009641A0">
        <w:rPr>
          <w:rFonts w:asciiTheme="minorHAnsi" w:hAnsiTheme="minorHAnsi" w:cstheme="minorHAnsi"/>
          <w:szCs w:val="22"/>
        </w:rPr>
        <w:t xml:space="preserve">The Roadway Maintenance Fee currently generates $1.3 million per year with a </w:t>
      </w:r>
      <w:r w:rsidR="001A0087" w:rsidRPr="009641A0">
        <w:rPr>
          <w:rFonts w:asciiTheme="minorHAnsi" w:hAnsiTheme="minorHAnsi" w:cstheme="minorHAnsi"/>
          <w:szCs w:val="22"/>
        </w:rPr>
        <w:t xml:space="preserve">planned </w:t>
      </w:r>
      <w:r w:rsidR="00287E32">
        <w:rPr>
          <w:rFonts w:asciiTheme="minorHAnsi" w:hAnsiTheme="minorHAnsi" w:cstheme="minorHAnsi"/>
          <w:szCs w:val="22"/>
        </w:rPr>
        <w:t>five</w:t>
      </w:r>
      <w:r w:rsidR="002125C2" w:rsidRPr="009641A0">
        <w:rPr>
          <w:rFonts w:asciiTheme="minorHAnsi" w:hAnsiTheme="minorHAnsi" w:cstheme="minorHAnsi"/>
          <w:szCs w:val="22"/>
        </w:rPr>
        <w:t xml:space="preserve"> percent increase annually.</w:t>
      </w:r>
      <w:r w:rsidR="009641A0">
        <w:rPr>
          <w:rFonts w:asciiTheme="minorHAnsi" w:hAnsiTheme="minorHAnsi" w:cstheme="minorHAnsi"/>
          <w:szCs w:val="22"/>
        </w:rPr>
        <w:t xml:space="preserve"> </w:t>
      </w:r>
      <w:r w:rsidRPr="009641A0">
        <w:rPr>
          <w:rFonts w:asciiTheme="minorHAnsi" w:hAnsiTheme="minorHAnsi" w:cstheme="minorHAnsi"/>
          <w:szCs w:val="22"/>
        </w:rPr>
        <w:t xml:space="preserve">Miscellaneous funds include interest, reimbursement charges, and other revenues. </w:t>
      </w:r>
      <w:r w:rsidR="001A0087" w:rsidRPr="009641A0">
        <w:rPr>
          <w:rFonts w:asciiTheme="minorHAnsi" w:hAnsiTheme="minorHAnsi" w:cstheme="minorHAnsi"/>
          <w:szCs w:val="22"/>
        </w:rPr>
        <w:t xml:space="preserve"> </w:t>
      </w:r>
      <w:r w:rsidRPr="009641A0">
        <w:rPr>
          <w:rFonts w:asciiTheme="minorHAnsi" w:hAnsiTheme="minorHAnsi" w:cstheme="minorHAnsi"/>
          <w:szCs w:val="22"/>
        </w:rPr>
        <w:t xml:space="preserve">These revenues total </w:t>
      </w:r>
      <w:r w:rsidR="00CA339B" w:rsidRPr="009641A0">
        <w:rPr>
          <w:rFonts w:asciiTheme="minorHAnsi" w:hAnsiTheme="minorHAnsi" w:cstheme="minorHAnsi"/>
          <w:szCs w:val="22"/>
        </w:rPr>
        <w:t>$30</w:t>
      </w:r>
      <w:r w:rsidRPr="009641A0">
        <w:rPr>
          <w:rFonts w:asciiTheme="minorHAnsi" w:hAnsiTheme="minorHAnsi" w:cstheme="minorHAnsi"/>
          <w:szCs w:val="22"/>
        </w:rPr>
        <w:t>,000</w:t>
      </w:r>
      <w:r w:rsidR="00CA339B" w:rsidRPr="009641A0">
        <w:rPr>
          <w:rFonts w:asciiTheme="minorHAnsi" w:hAnsiTheme="minorHAnsi" w:cstheme="minorHAnsi"/>
          <w:szCs w:val="22"/>
        </w:rPr>
        <w:t xml:space="preserve"> in FY 2014 and are forecast to increase by two percent</w:t>
      </w:r>
      <w:r w:rsidRPr="009641A0">
        <w:rPr>
          <w:rFonts w:asciiTheme="minorHAnsi" w:hAnsiTheme="minorHAnsi" w:cstheme="minorHAnsi"/>
          <w:szCs w:val="22"/>
        </w:rPr>
        <w:t xml:space="preserve"> annually</w:t>
      </w:r>
      <w:r w:rsidR="00CA339B" w:rsidRPr="009641A0">
        <w:rPr>
          <w:rFonts w:asciiTheme="minorHAnsi" w:hAnsiTheme="minorHAnsi" w:cstheme="minorHAnsi"/>
          <w:szCs w:val="22"/>
        </w:rPr>
        <w:t xml:space="preserve"> through 2040.</w:t>
      </w:r>
    </w:p>
    <w:p w:rsidR="009641A0" w:rsidRPr="009641A0" w:rsidRDefault="009641A0" w:rsidP="00803FD0">
      <w:pPr>
        <w:rPr>
          <w:rFonts w:asciiTheme="minorHAnsi" w:hAnsiTheme="minorHAnsi" w:cstheme="minorHAnsi"/>
          <w:szCs w:val="22"/>
        </w:rPr>
      </w:pPr>
    </w:p>
    <w:p w:rsidR="00975E00" w:rsidRDefault="006369DE" w:rsidP="00803FD0">
      <w:pPr>
        <w:rPr>
          <w:rFonts w:asciiTheme="minorHAnsi" w:hAnsiTheme="minorHAnsi" w:cstheme="minorHAnsi"/>
          <w:szCs w:val="22"/>
        </w:rPr>
      </w:pPr>
      <w:proofErr w:type="gramStart"/>
      <w:r w:rsidRPr="009641A0">
        <w:rPr>
          <w:rFonts w:asciiTheme="minorHAnsi" w:hAnsiTheme="minorHAnsi" w:cstheme="minorHAnsi"/>
          <w:b/>
          <w:szCs w:val="22"/>
        </w:rPr>
        <w:t>System Development Charges.</w:t>
      </w:r>
      <w:proofErr w:type="gramEnd"/>
      <w:r w:rsidRPr="009641A0">
        <w:rPr>
          <w:rFonts w:asciiTheme="minorHAnsi" w:hAnsiTheme="minorHAnsi" w:cstheme="minorHAnsi"/>
          <w:szCs w:val="22"/>
        </w:rPr>
        <w:t xml:space="preserve">  </w:t>
      </w:r>
      <w:r w:rsidR="00975E00" w:rsidRPr="009641A0">
        <w:rPr>
          <w:rFonts w:asciiTheme="minorHAnsi" w:hAnsiTheme="minorHAnsi" w:cstheme="minorHAnsi"/>
          <w:szCs w:val="22"/>
        </w:rPr>
        <w:t xml:space="preserve">System Development Charges (SDC) can be used to acquire needed property and improvements related to capacity required for growth as development occurs.  </w:t>
      </w:r>
      <w:r w:rsidR="001A0087" w:rsidRPr="009641A0">
        <w:rPr>
          <w:rFonts w:asciiTheme="minorHAnsi" w:hAnsiTheme="minorHAnsi" w:cstheme="minorHAnsi"/>
          <w:szCs w:val="22"/>
        </w:rPr>
        <w:t>For nearly the past two decades, c</w:t>
      </w:r>
      <w:r w:rsidR="00975E00" w:rsidRPr="009641A0">
        <w:rPr>
          <w:rFonts w:asciiTheme="minorHAnsi" w:hAnsiTheme="minorHAnsi" w:cstheme="minorHAnsi"/>
          <w:szCs w:val="22"/>
        </w:rPr>
        <w:t xml:space="preserve">onstruction of new streets </w:t>
      </w:r>
      <w:r w:rsidR="00CF2473" w:rsidRPr="009641A0">
        <w:rPr>
          <w:rFonts w:asciiTheme="minorHAnsi" w:hAnsiTheme="minorHAnsi" w:cstheme="minorHAnsi"/>
          <w:szCs w:val="22"/>
        </w:rPr>
        <w:t xml:space="preserve">in West Linn </w:t>
      </w:r>
      <w:r w:rsidR="00975E00" w:rsidRPr="009641A0">
        <w:rPr>
          <w:rFonts w:asciiTheme="minorHAnsi" w:hAnsiTheme="minorHAnsi" w:cstheme="minorHAnsi"/>
          <w:szCs w:val="22"/>
        </w:rPr>
        <w:t>has been</w:t>
      </w:r>
      <w:r w:rsidR="00CF2473" w:rsidRPr="009641A0">
        <w:rPr>
          <w:rFonts w:asciiTheme="minorHAnsi" w:hAnsiTheme="minorHAnsi" w:cstheme="minorHAnsi"/>
          <w:szCs w:val="22"/>
        </w:rPr>
        <w:t xml:space="preserve"> completed</w:t>
      </w:r>
      <w:r w:rsidR="00975E00" w:rsidRPr="009641A0">
        <w:rPr>
          <w:rFonts w:asciiTheme="minorHAnsi" w:hAnsiTheme="minorHAnsi" w:cstheme="minorHAnsi"/>
          <w:szCs w:val="22"/>
        </w:rPr>
        <w:t xml:space="preserve"> almost exclusively in conjunction with new development.  SDCs for streets are used as a funding source for projects that add capacity to the transportation system.  The SDC is collected from new development based on the proposed land use and size, and is proportional to each land use’s potential PM peak hour vehicle trip generation.  The current SDC rate (updated July 2014) per PM peak hour trip is $</w:t>
      </w:r>
      <w:r w:rsidR="00D40EE6" w:rsidRPr="009641A0">
        <w:rPr>
          <w:rFonts w:asciiTheme="minorHAnsi" w:hAnsiTheme="minorHAnsi" w:cstheme="minorHAnsi"/>
          <w:szCs w:val="22"/>
        </w:rPr>
        <w:t>7</w:t>
      </w:r>
      <w:r w:rsidR="00975E00" w:rsidRPr="009641A0">
        <w:rPr>
          <w:rFonts w:asciiTheme="minorHAnsi" w:hAnsiTheme="minorHAnsi" w:cstheme="minorHAnsi"/>
          <w:szCs w:val="22"/>
        </w:rPr>
        <w:t>,</w:t>
      </w:r>
      <w:r w:rsidR="00D40EE6" w:rsidRPr="009641A0">
        <w:rPr>
          <w:rFonts w:asciiTheme="minorHAnsi" w:hAnsiTheme="minorHAnsi" w:cstheme="minorHAnsi"/>
          <w:szCs w:val="22"/>
        </w:rPr>
        <w:t>292</w:t>
      </w:r>
      <w:r w:rsidR="00975E00" w:rsidRPr="009641A0">
        <w:rPr>
          <w:rFonts w:asciiTheme="minorHAnsi" w:hAnsiTheme="minorHAnsi" w:cstheme="minorHAnsi"/>
          <w:szCs w:val="22"/>
        </w:rPr>
        <w:t>, which includes $4,</w:t>
      </w:r>
      <w:r w:rsidR="00D40EE6" w:rsidRPr="009641A0">
        <w:rPr>
          <w:rFonts w:asciiTheme="minorHAnsi" w:hAnsiTheme="minorHAnsi" w:cstheme="minorHAnsi"/>
          <w:szCs w:val="22"/>
        </w:rPr>
        <w:t>846</w:t>
      </w:r>
      <w:r w:rsidR="00975E00" w:rsidRPr="009641A0">
        <w:rPr>
          <w:rFonts w:asciiTheme="minorHAnsi" w:hAnsiTheme="minorHAnsi" w:cstheme="minorHAnsi"/>
          <w:szCs w:val="22"/>
        </w:rPr>
        <w:t xml:space="preserve"> towards improvements</w:t>
      </w:r>
      <w:r w:rsidR="00D40EE6" w:rsidRPr="009641A0">
        <w:rPr>
          <w:rFonts w:asciiTheme="minorHAnsi" w:hAnsiTheme="minorHAnsi" w:cstheme="minorHAnsi"/>
          <w:szCs w:val="22"/>
        </w:rPr>
        <w:t xml:space="preserve"> and $2,262 in reimbursements</w:t>
      </w:r>
      <w:r w:rsidR="004F2DED" w:rsidRPr="009641A0">
        <w:rPr>
          <w:rFonts w:asciiTheme="minorHAnsi" w:hAnsiTheme="minorHAnsi" w:cstheme="minorHAnsi"/>
          <w:szCs w:val="22"/>
        </w:rPr>
        <w:t>.</w:t>
      </w:r>
    </w:p>
    <w:p w:rsidR="009641A0" w:rsidRPr="009641A0" w:rsidRDefault="009641A0" w:rsidP="00803FD0">
      <w:pPr>
        <w:rPr>
          <w:rFonts w:asciiTheme="minorHAnsi" w:hAnsiTheme="minorHAnsi" w:cstheme="minorHAnsi"/>
          <w:szCs w:val="22"/>
        </w:rPr>
      </w:pPr>
    </w:p>
    <w:p w:rsidR="00134075" w:rsidRPr="009641A0" w:rsidRDefault="00975E00" w:rsidP="00803FD0">
      <w:pPr>
        <w:rPr>
          <w:rFonts w:asciiTheme="minorHAnsi" w:hAnsiTheme="minorHAnsi" w:cstheme="minorHAnsi"/>
          <w:szCs w:val="22"/>
        </w:rPr>
      </w:pPr>
      <w:r w:rsidRPr="009641A0">
        <w:rPr>
          <w:rFonts w:asciiTheme="minorHAnsi" w:hAnsiTheme="minorHAnsi" w:cstheme="minorHAnsi"/>
          <w:szCs w:val="22"/>
        </w:rPr>
        <w:t>While the City of West Linn is expected to have</w:t>
      </w:r>
      <w:r w:rsidR="0074137A" w:rsidRPr="009641A0">
        <w:rPr>
          <w:rFonts w:asciiTheme="minorHAnsi" w:hAnsiTheme="minorHAnsi" w:cstheme="minorHAnsi"/>
          <w:szCs w:val="22"/>
        </w:rPr>
        <w:t xml:space="preserve"> relatively</w:t>
      </w:r>
      <w:r w:rsidRPr="009641A0">
        <w:rPr>
          <w:rFonts w:asciiTheme="minorHAnsi" w:hAnsiTheme="minorHAnsi" w:cstheme="minorHAnsi"/>
          <w:szCs w:val="22"/>
        </w:rPr>
        <w:t xml:space="preserve"> limited commercial development, household growth is projected to </w:t>
      </w:r>
      <w:r w:rsidR="001A0087" w:rsidRPr="009641A0">
        <w:rPr>
          <w:rFonts w:asciiTheme="minorHAnsi" w:hAnsiTheme="minorHAnsi" w:cstheme="minorHAnsi"/>
          <w:szCs w:val="22"/>
        </w:rPr>
        <w:t xml:space="preserve">increase by </w:t>
      </w:r>
      <w:r w:rsidRPr="009641A0">
        <w:rPr>
          <w:rFonts w:asciiTheme="minorHAnsi" w:hAnsiTheme="minorHAnsi" w:cstheme="minorHAnsi"/>
          <w:szCs w:val="22"/>
        </w:rPr>
        <w:t>approximately</w:t>
      </w:r>
      <w:r w:rsidR="003A1C19" w:rsidRPr="009641A0">
        <w:rPr>
          <w:rFonts w:asciiTheme="minorHAnsi" w:hAnsiTheme="minorHAnsi" w:cstheme="minorHAnsi"/>
          <w:szCs w:val="22"/>
        </w:rPr>
        <w:t xml:space="preserve"> 1,532 </w:t>
      </w:r>
      <w:r w:rsidR="001A0087" w:rsidRPr="009641A0">
        <w:rPr>
          <w:rFonts w:asciiTheme="minorHAnsi" w:hAnsiTheme="minorHAnsi" w:cstheme="minorHAnsi"/>
          <w:szCs w:val="22"/>
        </w:rPr>
        <w:t xml:space="preserve">units </w:t>
      </w:r>
      <w:r w:rsidR="00B72B56" w:rsidRPr="009641A0">
        <w:rPr>
          <w:rFonts w:asciiTheme="minorHAnsi" w:hAnsiTheme="minorHAnsi" w:cstheme="minorHAnsi"/>
          <w:szCs w:val="22"/>
        </w:rPr>
        <w:t>by the time the existing supply of buildable land is expended</w:t>
      </w:r>
      <w:r w:rsidR="00B3428D" w:rsidRPr="005D3A16">
        <w:rPr>
          <w:rStyle w:val="FootnoteReference"/>
          <w:rFonts w:asciiTheme="minorHAnsi" w:hAnsiTheme="minorHAnsi" w:cstheme="minorHAnsi"/>
          <w:szCs w:val="22"/>
        </w:rPr>
        <w:footnoteReference w:id="1"/>
      </w:r>
      <w:r w:rsidR="00CF2473" w:rsidRPr="005D3A16">
        <w:rPr>
          <w:rFonts w:asciiTheme="minorHAnsi" w:hAnsiTheme="minorHAnsi" w:cstheme="minorHAnsi"/>
          <w:szCs w:val="22"/>
        </w:rPr>
        <w:t xml:space="preserve">.  </w:t>
      </w:r>
      <w:r w:rsidR="00B1452B" w:rsidRPr="005D3A16">
        <w:rPr>
          <w:rFonts w:asciiTheme="minorHAnsi" w:hAnsiTheme="minorHAnsi" w:cstheme="minorHAnsi"/>
          <w:szCs w:val="22"/>
        </w:rPr>
        <w:t xml:space="preserve">Based on current zoning allocations, future residential development is expected to be comprised of 24 percent multi-family and 76 percent single-family dwellings.  </w:t>
      </w:r>
      <w:r w:rsidR="00AF3B09" w:rsidRPr="009641A0">
        <w:rPr>
          <w:rFonts w:asciiTheme="minorHAnsi" w:hAnsiTheme="minorHAnsi" w:cstheme="minorHAnsi"/>
          <w:szCs w:val="22"/>
        </w:rPr>
        <w:t xml:space="preserve">The 2014-2015 biennial budget </w:t>
      </w:r>
      <w:r w:rsidR="00134075" w:rsidRPr="009641A0">
        <w:rPr>
          <w:rFonts w:asciiTheme="minorHAnsi" w:hAnsiTheme="minorHAnsi" w:cstheme="minorHAnsi"/>
          <w:szCs w:val="22"/>
        </w:rPr>
        <w:t>forecasts $457,000 in SDC improvements</w:t>
      </w:r>
      <w:r w:rsidR="00461F1A" w:rsidRPr="009641A0">
        <w:rPr>
          <w:rFonts w:asciiTheme="minorHAnsi" w:hAnsiTheme="minorHAnsi" w:cstheme="minorHAnsi"/>
          <w:szCs w:val="22"/>
        </w:rPr>
        <w:t xml:space="preserve">.  The City’s Finance Department assumes a </w:t>
      </w:r>
      <w:r w:rsidR="00B1452B" w:rsidRPr="009641A0">
        <w:rPr>
          <w:rFonts w:asciiTheme="minorHAnsi" w:hAnsiTheme="minorHAnsi" w:cstheme="minorHAnsi"/>
          <w:szCs w:val="22"/>
        </w:rPr>
        <w:t xml:space="preserve">3 percent </w:t>
      </w:r>
      <w:r w:rsidR="00461F1A" w:rsidRPr="009641A0">
        <w:rPr>
          <w:rFonts w:asciiTheme="minorHAnsi" w:hAnsiTheme="minorHAnsi" w:cstheme="minorHAnsi"/>
          <w:szCs w:val="22"/>
        </w:rPr>
        <w:t xml:space="preserve">annual </w:t>
      </w:r>
      <w:r w:rsidR="00B1452B" w:rsidRPr="009641A0">
        <w:rPr>
          <w:rFonts w:asciiTheme="minorHAnsi" w:hAnsiTheme="minorHAnsi" w:cstheme="minorHAnsi"/>
          <w:szCs w:val="22"/>
        </w:rPr>
        <w:t>rate of growth to SDC revenues</w:t>
      </w:r>
      <w:r w:rsidR="00461F1A" w:rsidRPr="009641A0">
        <w:rPr>
          <w:rFonts w:asciiTheme="minorHAnsi" w:hAnsiTheme="minorHAnsi" w:cstheme="minorHAnsi"/>
          <w:szCs w:val="22"/>
        </w:rPr>
        <w:t>.  When projected</w:t>
      </w:r>
      <w:r w:rsidR="00B1452B" w:rsidRPr="009641A0">
        <w:rPr>
          <w:rFonts w:asciiTheme="minorHAnsi" w:hAnsiTheme="minorHAnsi" w:cstheme="minorHAnsi"/>
          <w:szCs w:val="22"/>
        </w:rPr>
        <w:t xml:space="preserve"> to the year 2040, </w:t>
      </w:r>
      <w:r w:rsidR="00461F1A" w:rsidRPr="009641A0">
        <w:rPr>
          <w:rFonts w:asciiTheme="minorHAnsi" w:hAnsiTheme="minorHAnsi" w:cstheme="minorHAnsi"/>
          <w:szCs w:val="22"/>
        </w:rPr>
        <w:t xml:space="preserve">SDC revenues total $9.18 million </w:t>
      </w:r>
      <w:r w:rsidR="00B1452B" w:rsidRPr="009641A0">
        <w:rPr>
          <w:rFonts w:asciiTheme="minorHAnsi" w:hAnsiTheme="minorHAnsi" w:cstheme="minorHAnsi"/>
          <w:szCs w:val="22"/>
        </w:rPr>
        <w:t xml:space="preserve">for </w:t>
      </w:r>
      <w:r w:rsidR="00B3428D" w:rsidRPr="009641A0">
        <w:rPr>
          <w:rFonts w:asciiTheme="minorHAnsi" w:hAnsiTheme="minorHAnsi" w:cstheme="minorHAnsi"/>
          <w:szCs w:val="22"/>
        </w:rPr>
        <w:t>s</w:t>
      </w:r>
      <w:r w:rsidR="00B1452B" w:rsidRPr="009641A0">
        <w:rPr>
          <w:rFonts w:asciiTheme="minorHAnsi" w:hAnsiTheme="minorHAnsi" w:cstheme="minorHAnsi"/>
          <w:szCs w:val="22"/>
        </w:rPr>
        <w:t>tre</w:t>
      </w:r>
      <w:r w:rsidR="00B3428D" w:rsidRPr="009641A0">
        <w:rPr>
          <w:rFonts w:asciiTheme="minorHAnsi" w:hAnsiTheme="minorHAnsi" w:cstheme="minorHAnsi"/>
          <w:szCs w:val="22"/>
        </w:rPr>
        <w:t xml:space="preserve">et, bicycle and pedestrian </w:t>
      </w:r>
      <w:r w:rsidR="00B1452B" w:rsidRPr="009641A0">
        <w:rPr>
          <w:rFonts w:asciiTheme="minorHAnsi" w:hAnsiTheme="minorHAnsi" w:cstheme="minorHAnsi"/>
          <w:szCs w:val="22"/>
        </w:rPr>
        <w:t xml:space="preserve">projects.  </w:t>
      </w:r>
      <w:r w:rsidR="00264F40" w:rsidRPr="009641A0">
        <w:rPr>
          <w:rFonts w:asciiTheme="minorHAnsi" w:hAnsiTheme="minorHAnsi" w:cstheme="minorHAnsi"/>
          <w:szCs w:val="22"/>
        </w:rPr>
        <w:t xml:space="preserve">Total SDC revenues </w:t>
      </w:r>
      <w:r w:rsidR="00B3428D" w:rsidRPr="009641A0">
        <w:rPr>
          <w:rFonts w:asciiTheme="minorHAnsi" w:hAnsiTheme="minorHAnsi" w:cstheme="minorHAnsi"/>
          <w:szCs w:val="22"/>
        </w:rPr>
        <w:t xml:space="preserve">collected </w:t>
      </w:r>
      <w:r w:rsidR="00264F40" w:rsidRPr="009641A0">
        <w:rPr>
          <w:rFonts w:asciiTheme="minorHAnsi" w:hAnsiTheme="minorHAnsi" w:cstheme="minorHAnsi"/>
          <w:szCs w:val="22"/>
        </w:rPr>
        <w:t>are reduced to $4.55 million</w:t>
      </w:r>
      <w:r w:rsidR="004A645B" w:rsidRPr="009641A0">
        <w:rPr>
          <w:rFonts w:asciiTheme="minorHAnsi" w:hAnsiTheme="minorHAnsi" w:cstheme="minorHAnsi"/>
          <w:szCs w:val="22"/>
        </w:rPr>
        <w:t xml:space="preserve"> if build</w:t>
      </w:r>
      <w:r w:rsidR="003C145E">
        <w:rPr>
          <w:rFonts w:asciiTheme="minorHAnsi" w:hAnsiTheme="minorHAnsi" w:cstheme="minorHAnsi"/>
          <w:szCs w:val="22"/>
        </w:rPr>
        <w:t>-</w:t>
      </w:r>
      <w:r w:rsidR="004A645B" w:rsidRPr="009641A0">
        <w:rPr>
          <w:rFonts w:asciiTheme="minorHAnsi" w:hAnsiTheme="minorHAnsi" w:cstheme="minorHAnsi"/>
          <w:szCs w:val="22"/>
        </w:rPr>
        <w:t>out occurs in 2029.</w:t>
      </w:r>
      <w:r w:rsidR="00134075" w:rsidRPr="009641A0">
        <w:rPr>
          <w:rFonts w:asciiTheme="minorHAnsi" w:hAnsiTheme="minorHAnsi" w:cstheme="minorHAnsi"/>
          <w:szCs w:val="22"/>
        </w:rPr>
        <w:t xml:space="preserve"> </w:t>
      </w:r>
    </w:p>
    <w:p w:rsidR="003772F7" w:rsidRPr="009641A0" w:rsidRDefault="003772F7" w:rsidP="00803FD0">
      <w:pPr>
        <w:pStyle w:val="Caption"/>
        <w:keepNext/>
        <w:spacing w:after="0"/>
        <w:rPr>
          <w:rFonts w:asciiTheme="minorHAnsi" w:hAnsiTheme="minorHAnsi" w:cstheme="minorHAnsi"/>
          <w:sz w:val="22"/>
          <w:szCs w:val="22"/>
        </w:rPr>
        <w:sectPr w:rsidR="003772F7" w:rsidRPr="009641A0" w:rsidSect="0033451B">
          <w:footerReference w:type="default" r:id="rId10"/>
          <w:pgSz w:w="12240" w:h="15840" w:code="1"/>
          <w:pgMar w:top="1440" w:right="1440" w:bottom="1166" w:left="1440" w:header="720" w:footer="720" w:gutter="0"/>
          <w:cols w:space="720"/>
          <w:titlePg/>
          <w:docGrid w:linePitch="360"/>
        </w:sectPr>
      </w:pPr>
    </w:p>
    <w:p w:rsidR="00461F1A" w:rsidRDefault="003772F7" w:rsidP="00461F1A">
      <w:pPr>
        <w:pStyle w:val="Caption"/>
        <w:keepNext/>
        <w:spacing w:line="276" w:lineRule="auto"/>
      </w:pPr>
      <w:r>
        <w:rPr>
          <w:noProof/>
        </w:rPr>
        <w:lastRenderedPageBreak/>
        <w:drawing>
          <wp:anchor distT="0" distB="0" distL="114300" distR="114300" simplePos="0" relativeHeight="251658240" behindDoc="0" locked="0" layoutInCell="1" allowOverlap="1" wp14:anchorId="11303078" wp14:editId="00C01CE7">
            <wp:simplePos x="0" y="0"/>
            <wp:positionH relativeFrom="column">
              <wp:posOffset>47625</wp:posOffset>
            </wp:positionH>
            <wp:positionV relativeFrom="paragraph">
              <wp:posOffset>312420</wp:posOffset>
            </wp:positionV>
            <wp:extent cx="8084820" cy="128257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l_01_mapjpg_Page1.jpg"/>
                    <pic:cNvPicPr/>
                  </pic:nvPicPr>
                  <pic:blipFill rotWithShape="1">
                    <a:blip r:embed="rId11" cstate="print">
                      <a:extLst>
                        <a:ext uri="{28A0092B-C50C-407E-A947-70E740481C1C}">
                          <a14:useLocalDpi xmlns:a14="http://schemas.microsoft.com/office/drawing/2010/main" val="0"/>
                        </a:ext>
                      </a:extLst>
                    </a:blip>
                    <a:srcRect l="3363" t="1703" r="3221" b="2422"/>
                    <a:stretch/>
                  </pic:blipFill>
                  <pic:spPr bwMode="auto">
                    <a:xfrm>
                      <a:off x="0" y="0"/>
                      <a:ext cx="8084820" cy="1282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F1A">
        <w:t xml:space="preserve">Figure </w:t>
      </w:r>
      <w:fldSimple w:instr=" SEQ Figure \* ARABIC ">
        <w:r w:rsidR="00461F1A">
          <w:rPr>
            <w:noProof/>
          </w:rPr>
          <w:t>1</w:t>
        </w:r>
      </w:fldSimple>
      <w:r w:rsidR="00461F1A">
        <w:t xml:space="preserve"> 2013 Residential Units and Buildable Lands Inventory</w:t>
      </w:r>
    </w:p>
    <w:p w:rsidR="003772F7" w:rsidRDefault="003772F7" w:rsidP="00FF429D">
      <w:pPr>
        <w:spacing w:before="240" w:after="120" w:line="276" w:lineRule="auto"/>
        <w:rPr>
          <w:b/>
        </w:rPr>
        <w:sectPr w:rsidR="003772F7" w:rsidSect="003772F7">
          <w:pgSz w:w="15840" w:h="24480" w:code="3"/>
          <w:pgMar w:top="1440" w:right="1440" w:bottom="1166" w:left="1440" w:header="720" w:footer="720" w:gutter="0"/>
          <w:cols w:space="720"/>
          <w:titlePg/>
          <w:docGrid w:linePitch="360"/>
        </w:sectPr>
      </w:pPr>
    </w:p>
    <w:p w:rsidR="00D17916" w:rsidRDefault="00D17916" w:rsidP="00FF429D">
      <w:pPr>
        <w:spacing w:before="240" w:after="120" w:line="276" w:lineRule="auto"/>
      </w:pPr>
      <w:proofErr w:type="gramStart"/>
      <w:r>
        <w:rPr>
          <w:b/>
        </w:rPr>
        <w:lastRenderedPageBreak/>
        <w:t>Exactions.</w:t>
      </w:r>
      <w:proofErr w:type="gramEnd"/>
      <w:r>
        <w:t xml:space="preserve">  </w:t>
      </w:r>
      <w:r w:rsidRPr="00D17916">
        <w:t xml:space="preserve">These are improvements that are obtained when development is permitted. </w:t>
      </w:r>
      <w:r>
        <w:t xml:space="preserve"> </w:t>
      </w:r>
      <w:r w:rsidRPr="00D17916">
        <w:t xml:space="preserve">Developers are required to improve their frontage and, in some cases, provide off-site improvements depending upon their level of traffic generation and the impact to the transportation system. </w:t>
      </w:r>
      <w:r>
        <w:t xml:space="preserve"> </w:t>
      </w:r>
      <w:r w:rsidRPr="00D17916">
        <w:t>Off-site mitigation measures can include, but are not limited to, Master Plan projects identified in the TSP.</w:t>
      </w:r>
      <w:r>
        <w:t xml:space="preserve">  Based on the City’s buildable lands inventory, completed in 2014, the </w:t>
      </w:r>
      <w:r w:rsidR="00461F1A">
        <w:t>map in Figure 1</w:t>
      </w:r>
      <w:r>
        <w:t xml:space="preserve"> illustrates parcels in the City with potential for development or redevelopment.  Exactions resulting in transportation improvements are likely to occur during the development and redevelopment of these parcels.</w:t>
      </w:r>
    </w:p>
    <w:p w:rsidR="002F7FD7" w:rsidRDefault="002F7FD7" w:rsidP="00FF429D">
      <w:pPr>
        <w:spacing w:before="240" w:after="120" w:line="276" w:lineRule="auto"/>
      </w:pPr>
      <w:proofErr w:type="gramStart"/>
      <w:r>
        <w:rPr>
          <w:b/>
        </w:rPr>
        <w:t>Reserves.</w:t>
      </w:r>
      <w:proofErr w:type="gramEnd"/>
      <w:r>
        <w:t xml:space="preserve">  Reserves are the funds that are left over after all revenues and expenditures are projected for budget purposes.  There are three types of reserves used for different purposes.  Contingency reserves are for unexpected or unforeseen items which may arise during the course of a budget period which were not specifically identified when the budget was adopted.  Unappropriated ending fund balance reserves are used to carry funds forward for some future project, to cover the following year’s operating costs until November property taxes arrive, or to be utilized if a City emergency is declared.  Finally, debt covenant reserves vary by bond issue and depend upon specific covenants pledged when selling the bond issue in the market place.  They typically come in the form of at least one year’s annual debt service.  The 2014-2015 budget includes $1.015 million in street fund reserves, $845,000 more than the required reserve policy minimum for this fund.</w:t>
      </w:r>
    </w:p>
    <w:p w:rsidR="008161A0" w:rsidRDefault="008161A0" w:rsidP="00FF429D">
      <w:pPr>
        <w:spacing w:before="240" w:after="120" w:line="276" w:lineRule="auto"/>
      </w:pPr>
      <w:proofErr w:type="gramStart"/>
      <w:r>
        <w:rPr>
          <w:b/>
        </w:rPr>
        <w:t>Grants</w:t>
      </w:r>
      <w:r w:rsidR="006B5D58">
        <w:rPr>
          <w:b/>
        </w:rPr>
        <w:t xml:space="preserve"> and Loans</w:t>
      </w:r>
      <w:r>
        <w:rPr>
          <w:b/>
        </w:rPr>
        <w:t>.</w:t>
      </w:r>
      <w:proofErr w:type="gramEnd"/>
      <w:r>
        <w:t xml:space="preserve">  </w:t>
      </w:r>
      <w:r w:rsidR="00564C45">
        <w:t xml:space="preserve">Historically, </w:t>
      </w:r>
      <w:r w:rsidR="002114A4">
        <w:t>S</w:t>
      </w:r>
      <w:r w:rsidR="00564C45">
        <w:t>tate and Federal grants have been a key source of revenue</w:t>
      </w:r>
      <w:r w:rsidR="00C25BDB">
        <w:t xml:space="preserve"> for major transportation capital projects.</w:t>
      </w:r>
      <w:r w:rsidR="005105A4">
        <w:t xml:space="preserve">  Dwindling State and Federal transportation revenues however, have limited the </w:t>
      </w:r>
      <w:r w:rsidR="006B5E94">
        <w:t xml:space="preserve">number of grant funded projects and have </w:t>
      </w:r>
      <w:r w:rsidR="00C959BD">
        <w:t xml:space="preserve">increased competition among </w:t>
      </w:r>
      <w:r w:rsidR="006B5E94">
        <w:t>state and local agencies.</w:t>
      </w:r>
      <w:r w:rsidR="00F964F6">
        <w:t xml:space="preserve">  Because of the uncertainty in acquiring grant funds, these potential transportation funding sources are not accounted for in the City’s revenue forecast.  Grant sources that are currently available for transportation-related projects </w:t>
      </w:r>
      <w:r w:rsidR="00283008">
        <w:t>include</w:t>
      </w:r>
      <w:r w:rsidR="001B329A">
        <w:t>, but are not limited to</w:t>
      </w:r>
      <w:r w:rsidR="00283008">
        <w:t>:</w:t>
      </w:r>
      <w:r w:rsidR="00F964F6">
        <w:t xml:space="preserve"> </w:t>
      </w:r>
    </w:p>
    <w:p w:rsidR="00C25BDB" w:rsidRDefault="00283008" w:rsidP="00B00EEC">
      <w:pPr>
        <w:pStyle w:val="ListParagraph"/>
        <w:numPr>
          <w:ilvl w:val="0"/>
          <w:numId w:val="36"/>
        </w:numPr>
        <w:spacing w:after="120" w:line="276" w:lineRule="auto"/>
        <w:ind w:left="360"/>
        <w:contextualSpacing w:val="0"/>
      </w:pPr>
      <w:r w:rsidRPr="00A9676B">
        <w:rPr>
          <w:i/>
        </w:rPr>
        <w:t xml:space="preserve">Metro </w:t>
      </w:r>
      <w:r w:rsidR="00C25BDB" w:rsidRPr="00A9676B">
        <w:rPr>
          <w:i/>
        </w:rPr>
        <w:t>Regional Flexible Funds</w:t>
      </w:r>
      <w:r w:rsidRPr="00A9676B">
        <w:rPr>
          <w:i/>
        </w:rPr>
        <w:t>.</w:t>
      </w:r>
      <w:r>
        <w:t xml:space="preserve">  Every two years, the Metro Council and the Joint Policy Advisory Committee on Transportation select programs and projects for federal flexible funds.  These funds come from three federal grant programs: the Surface Transportation Program, the Congestion Mitigation/Air Quality Program and the Transportation Alternatives Program.  These programs allow greater discretion on how the monies are spent which allows for greater focus on local priorities and innovative solutions to transportation challenges.</w:t>
      </w:r>
    </w:p>
    <w:p w:rsidR="00F712B1" w:rsidRDefault="00207F9A" w:rsidP="00B00EEC">
      <w:pPr>
        <w:pStyle w:val="ListParagraph"/>
        <w:numPr>
          <w:ilvl w:val="0"/>
          <w:numId w:val="36"/>
        </w:numPr>
        <w:spacing w:after="120" w:line="276" w:lineRule="auto"/>
        <w:ind w:left="360"/>
        <w:contextualSpacing w:val="0"/>
      </w:pPr>
      <w:r w:rsidRPr="00207F9A">
        <w:rPr>
          <w:i/>
        </w:rPr>
        <w:t>Transportation Investment Generating Economic Recovery (</w:t>
      </w:r>
      <w:r>
        <w:rPr>
          <w:i/>
        </w:rPr>
        <w:t xml:space="preserve">TIGER) </w:t>
      </w:r>
      <w:r w:rsidR="00F712B1" w:rsidRPr="00207F9A">
        <w:rPr>
          <w:i/>
        </w:rPr>
        <w:t>Discretionary Grants</w:t>
      </w:r>
      <w:r>
        <w:t>.  These monies are u</w:t>
      </w:r>
      <w:r w:rsidR="00AB465D">
        <w:t>sed to invest in road, rail, transit and port project</w:t>
      </w:r>
      <w:r w:rsidR="002114A4">
        <w:t>s</w:t>
      </w:r>
      <w:r w:rsidR="00AB465D">
        <w:t xml:space="preserve"> that promise to achieve critical national objectives.  In 2014, $600 million in TIGER funds were awarded to projects nationwide. To highlight the high degree of competition for these funds and strong demand and need for additional transportation investments nationwide, in 2014, 797 eligible grant applications were received requesting a total amount of more than $9 billion.</w:t>
      </w:r>
    </w:p>
    <w:p w:rsidR="00F712B1" w:rsidRPr="00480789" w:rsidRDefault="00480789" w:rsidP="00B00EEC">
      <w:pPr>
        <w:pStyle w:val="ListParagraph"/>
        <w:numPr>
          <w:ilvl w:val="0"/>
          <w:numId w:val="36"/>
        </w:numPr>
        <w:spacing w:after="120" w:line="276" w:lineRule="auto"/>
        <w:ind w:left="360"/>
        <w:contextualSpacing w:val="0"/>
        <w:rPr>
          <w:i/>
        </w:rPr>
      </w:pPr>
      <w:r w:rsidRPr="00480789">
        <w:rPr>
          <w:i/>
        </w:rPr>
        <w:t>Transportation Infrastructure Finance and Innovation Act (TIFIA).</w:t>
      </w:r>
      <w:r>
        <w:rPr>
          <w:i/>
        </w:rPr>
        <w:t xml:space="preserve">  </w:t>
      </w:r>
      <w:r>
        <w:t xml:space="preserve">While not a grant, these funds provide federal credit assistance in the form of direct loans, loan guarantees, and standby lines of credit to finance surface transportation projects of national and regional significance.  The goal of this program is to leverage Federal funds by attracting substantial private and other </w:t>
      </w:r>
      <w:r>
        <w:lastRenderedPageBreak/>
        <w:t>non-Federal co-investment in critical improvements to the nation’s surface transportation system.</w:t>
      </w:r>
      <w:r w:rsidR="001A1176">
        <w:t xml:space="preserve">  Projects eligible to receive TIFIA funding include international bridges and tunnels; intercity passenger bus and rail facilities and vehicles; publicly owned freight rail facilities; private facilities that provide public benefit for highway users; and, service improvements on or adjacent to the National Highway System.</w:t>
      </w:r>
    </w:p>
    <w:p w:rsidR="001B329A" w:rsidRDefault="001B329A" w:rsidP="00B00EEC">
      <w:pPr>
        <w:pStyle w:val="ListParagraph"/>
        <w:numPr>
          <w:ilvl w:val="0"/>
          <w:numId w:val="36"/>
        </w:numPr>
        <w:spacing w:after="120" w:line="276" w:lineRule="auto"/>
        <w:ind w:left="360"/>
        <w:contextualSpacing w:val="0"/>
      </w:pPr>
      <w:r w:rsidRPr="00D855F2">
        <w:rPr>
          <w:i/>
        </w:rPr>
        <w:t>Transportation and Growth Management (TGM) Grant.</w:t>
      </w:r>
      <w:r>
        <w:t xml:space="preserve">  The Oregon Department of Transportation (ODOT) in cooperation with the Oregon Department of Land Conservation and Development (DLCD) sponsor an annual grant program that supports communities planning for streets and land use in a way that leads to more livable, economically vital, and sustainable communities and that increases opportunities for transit, walking and bicycling.  TGM grants may be used for transportation system planning or integrated land use and transportation planning.  West Linn’s 2014 TSP Update is funded in major part through this program.</w:t>
      </w:r>
    </w:p>
    <w:p w:rsidR="00C62AAD" w:rsidRDefault="008C0EA1" w:rsidP="00B00EEC">
      <w:pPr>
        <w:pStyle w:val="ListParagraph"/>
        <w:numPr>
          <w:ilvl w:val="0"/>
          <w:numId w:val="36"/>
        </w:numPr>
        <w:spacing w:after="120" w:line="276" w:lineRule="auto"/>
        <w:ind w:left="360"/>
        <w:contextualSpacing w:val="0"/>
      </w:pPr>
      <w:r>
        <w:rPr>
          <w:i/>
        </w:rPr>
        <w:t xml:space="preserve">Transportation, Community, and System Preservation Program (TCSP).  </w:t>
      </w:r>
      <w:r>
        <w:t>The TCSP program is a comprehensive initiative of research and grants to integrate transportation, community and system preservation plans and practices that improve the efficiency of the transportation system of the U.S.; reduce environmental impacts of transportation; reduce the need for costly future public infrastructure investments; ensure efficient access to jobs, services, and centers of trade; and examine community</w:t>
      </w:r>
      <w:r w:rsidR="00A84A94">
        <w:t xml:space="preserve"> development patterns and identify strategies to encourage private sector development patterns and investments that support these goals.</w:t>
      </w:r>
    </w:p>
    <w:p w:rsidR="008C0EA1" w:rsidRPr="007C524B" w:rsidRDefault="00C62AAD" w:rsidP="00B00EEC">
      <w:pPr>
        <w:pStyle w:val="ListParagraph"/>
        <w:numPr>
          <w:ilvl w:val="0"/>
          <w:numId w:val="36"/>
        </w:numPr>
        <w:spacing w:after="120" w:line="276" w:lineRule="auto"/>
        <w:ind w:left="360"/>
        <w:contextualSpacing w:val="0"/>
      </w:pPr>
      <w:r>
        <w:rPr>
          <w:i/>
        </w:rPr>
        <w:t xml:space="preserve">Surface Transportation Environment and Planning Cooperative Research Program (STEP).  </w:t>
      </w:r>
      <w:r>
        <w:t>The general objective of the STEP is to improve understanding of the complex relationship between sur</w:t>
      </w:r>
      <w:r w:rsidR="007C524B">
        <w:t>f</w:t>
      </w:r>
      <w:r>
        <w:t>ace transportation, planning and the environment.  It is anticipated that approximately $12.8 million will be available each year from this revenue source.</w:t>
      </w:r>
      <w:r w:rsidR="008C0EA1">
        <w:t xml:space="preserve"> </w:t>
      </w:r>
      <w:r w:rsidR="008C0EA1">
        <w:rPr>
          <w:i/>
        </w:rPr>
        <w:t xml:space="preserve">  </w:t>
      </w:r>
    </w:p>
    <w:p w:rsidR="007C524B" w:rsidRDefault="007C524B" w:rsidP="00B00EEC">
      <w:pPr>
        <w:pStyle w:val="ListParagraph"/>
        <w:numPr>
          <w:ilvl w:val="0"/>
          <w:numId w:val="36"/>
        </w:numPr>
        <w:spacing w:after="120" w:line="276" w:lineRule="auto"/>
        <w:ind w:left="360"/>
        <w:contextualSpacing w:val="0"/>
      </w:pPr>
      <w:r>
        <w:rPr>
          <w:i/>
        </w:rPr>
        <w:t xml:space="preserve">Safe Routes to Schools Program (SRTS).  </w:t>
      </w:r>
      <w:r>
        <w:t>SRTS encourages children to walk and bicycle to school; to make walking and bicycling to school safe and more appealing; and to facilitate the planning, development and implementation of projects that will improve safety, and reduce traffic, fuel consumption, and air pollution in the vicinity of schools.  Funding is available for a variety of programs and projects that encourage children and their parents to walk to school.</w:t>
      </w:r>
    </w:p>
    <w:p w:rsidR="001C1C78" w:rsidRDefault="001C1C78" w:rsidP="001C1C78">
      <w:pPr>
        <w:spacing w:after="120" w:line="276" w:lineRule="auto"/>
      </w:pPr>
    </w:p>
    <w:p w:rsidR="005E067E" w:rsidRDefault="005E067E" w:rsidP="001A615A">
      <w:pPr>
        <w:pStyle w:val="Caption"/>
        <w:keepNext/>
      </w:pPr>
      <w:r>
        <w:t xml:space="preserve">Table </w:t>
      </w:r>
      <w:fldSimple w:instr=" SEQ Table \* ARABIC ">
        <w:r>
          <w:rPr>
            <w:noProof/>
          </w:rPr>
          <w:t>1</w:t>
        </w:r>
      </w:fldSimple>
      <w:r>
        <w:t xml:space="preserve"> Local Transportation Revenues, 2014</w:t>
      </w:r>
    </w:p>
    <w:tbl>
      <w:tblPr>
        <w:tblStyle w:val="TableGrid"/>
        <w:tblW w:w="0" w:type="auto"/>
        <w:tblLook w:val="04A0" w:firstRow="1" w:lastRow="0" w:firstColumn="1" w:lastColumn="0" w:noHBand="0" w:noVBand="1"/>
      </w:tblPr>
      <w:tblGrid>
        <w:gridCol w:w="6768"/>
        <w:gridCol w:w="2790"/>
      </w:tblGrid>
      <w:tr w:rsidR="001C1C78" w:rsidTr="00803FD0">
        <w:tc>
          <w:tcPr>
            <w:tcW w:w="676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1C1C78" w:rsidRPr="00D83CC1" w:rsidRDefault="001C1C78" w:rsidP="00B7758D">
            <w:pPr>
              <w:spacing w:after="120" w:line="276" w:lineRule="auto"/>
              <w:rPr>
                <w:b/>
              </w:rPr>
            </w:pPr>
            <w:r w:rsidRPr="00D83CC1">
              <w:rPr>
                <w:b/>
              </w:rPr>
              <w:t>Revenue</w:t>
            </w:r>
          </w:p>
        </w:tc>
        <w:tc>
          <w:tcPr>
            <w:tcW w:w="279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1C1C78" w:rsidRPr="00D83CC1" w:rsidRDefault="001C1C78" w:rsidP="00B7758D">
            <w:pPr>
              <w:spacing w:after="120" w:line="276" w:lineRule="auto"/>
              <w:jc w:val="center"/>
              <w:rPr>
                <w:b/>
              </w:rPr>
            </w:pPr>
            <w:r w:rsidRPr="00D83CC1">
              <w:rPr>
                <w:b/>
              </w:rPr>
              <w:t>FY 2014 Amount</w:t>
            </w:r>
          </w:p>
        </w:tc>
      </w:tr>
      <w:tr w:rsidR="001C1C78" w:rsidTr="00803FD0">
        <w:trPr>
          <w:trHeight w:val="449"/>
        </w:trPr>
        <w:tc>
          <w:tcPr>
            <w:tcW w:w="6768" w:type="dxa"/>
            <w:tcBorders>
              <w:top w:val="single" w:sz="12" w:space="0" w:color="auto"/>
              <w:left w:val="single" w:sz="4" w:space="0" w:color="FFFFFF" w:themeColor="background1"/>
              <w:right w:val="single" w:sz="4" w:space="0" w:color="FFFFFF" w:themeColor="background1"/>
            </w:tcBorders>
            <w:vAlign w:val="center"/>
          </w:tcPr>
          <w:p w:rsidR="001C1C78" w:rsidRDefault="001C1C78" w:rsidP="00F11F2D">
            <w:pPr>
              <w:spacing w:after="120" w:line="276" w:lineRule="auto"/>
            </w:pPr>
            <w:r>
              <w:t xml:space="preserve">State </w:t>
            </w:r>
            <w:r w:rsidR="00F11F2D">
              <w:t>fuel</w:t>
            </w:r>
            <w:r>
              <w:t xml:space="preserve"> tax and </w:t>
            </w:r>
            <w:r w:rsidR="00F11F2D">
              <w:t xml:space="preserve">vehicle </w:t>
            </w:r>
            <w:r>
              <w:t>license fees</w:t>
            </w:r>
          </w:p>
        </w:tc>
        <w:tc>
          <w:tcPr>
            <w:tcW w:w="2790" w:type="dxa"/>
            <w:tcBorders>
              <w:top w:val="single" w:sz="12" w:space="0" w:color="auto"/>
              <w:left w:val="single" w:sz="4" w:space="0" w:color="FFFFFF" w:themeColor="background1"/>
              <w:right w:val="single" w:sz="4" w:space="0" w:color="FFFFFF" w:themeColor="background1"/>
            </w:tcBorders>
            <w:vAlign w:val="center"/>
          </w:tcPr>
          <w:p w:rsidR="001C1C78" w:rsidRDefault="001C1C78" w:rsidP="00B7758D">
            <w:pPr>
              <w:spacing w:after="120" w:line="276" w:lineRule="auto"/>
              <w:jc w:val="center"/>
            </w:pPr>
            <w:r>
              <w:t>$1,414,000</w:t>
            </w:r>
          </w:p>
        </w:tc>
      </w:tr>
      <w:tr w:rsidR="001C1C78" w:rsidTr="00803FD0">
        <w:tc>
          <w:tcPr>
            <w:tcW w:w="6768" w:type="dxa"/>
            <w:tcBorders>
              <w:left w:val="single" w:sz="4" w:space="0" w:color="FFFFFF" w:themeColor="background1"/>
              <w:right w:val="single" w:sz="4" w:space="0" w:color="FFFFFF" w:themeColor="background1"/>
            </w:tcBorders>
            <w:vAlign w:val="center"/>
          </w:tcPr>
          <w:p w:rsidR="001C1C78" w:rsidRDefault="001C1C78" w:rsidP="00B7758D">
            <w:pPr>
              <w:spacing w:after="120" w:line="276" w:lineRule="auto"/>
            </w:pPr>
            <w:r>
              <w:t>Roadway maintenance fee</w:t>
            </w:r>
          </w:p>
        </w:tc>
        <w:tc>
          <w:tcPr>
            <w:tcW w:w="2790" w:type="dxa"/>
            <w:tcBorders>
              <w:left w:val="single" w:sz="4" w:space="0" w:color="FFFFFF" w:themeColor="background1"/>
              <w:right w:val="single" w:sz="4" w:space="0" w:color="FFFFFF" w:themeColor="background1"/>
            </w:tcBorders>
            <w:vAlign w:val="center"/>
          </w:tcPr>
          <w:p w:rsidR="001C1C78" w:rsidRDefault="001C1C78" w:rsidP="00B7758D">
            <w:pPr>
              <w:spacing w:after="120" w:line="276" w:lineRule="auto"/>
              <w:jc w:val="center"/>
            </w:pPr>
            <w:r>
              <w:t>$1,319,000</w:t>
            </w:r>
          </w:p>
        </w:tc>
      </w:tr>
      <w:tr w:rsidR="001C1C78" w:rsidTr="00803FD0">
        <w:tc>
          <w:tcPr>
            <w:tcW w:w="6768" w:type="dxa"/>
            <w:tcBorders>
              <w:left w:val="single" w:sz="4" w:space="0" w:color="FFFFFF" w:themeColor="background1"/>
              <w:right w:val="single" w:sz="4" w:space="0" w:color="FFFFFF" w:themeColor="background1"/>
            </w:tcBorders>
            <w:vAlign w:val="center"/>
          </w:tcPr>
          <w:p w:rsidR="001C1C78" w:rsidRDefault="001C1C78" w:rsidP="00B7758D">
            <w:pPr>
              <w:spacing w:after="120" w:line="276" w:lineRule="auto"/>
            </w:pPr>
            <w:r>
              <w:t>Franchise fees</w:t>
            </w:r>
          </w:p>
        </w:tc>
        <w:tc>
          <w:tcPr>
            <w:tcW w:w="2790" w:type="dxa"/>
            <w:tcBorders>
              <w:left w:val="single" w:sz="4" w:space="0" w:color="FFFFFF" w:themeColor="background1"/>
              <w:right w:val="single" w:sz="4" w:space="0" w:color="FFFFFF" w:themeColor="background1"/>
            </w:tcBorders>
            <w:vAlign w:val="center"/>
          </w:tcPr>
          <w:p w:rsidR="001C1C78" w:rsidRDefault="001C1C78" w:rsidP="00B7758D">
            <w:pPr>
              <w:spacing w:after="120" w:line="276" w:lineRule="auto"/>
              <w:jc w:val="center"/>
            </w:pPr>
            <w:r>
              <w:t>$120,000</w:t>
            </w:r>
          </w:p>
        </w:tc>
      </w:tr>
      <w:tr w:rsidR="001C1C78" w:rsidTr="00803FD0">
        <w:tc>
          <w:tcPr>
            <w:tcW w:w="6768" w:type="dxa"/>
            <w:tcBorders>
              <w:left w:val="single" w:sz="4" w:space="0" w:color="FFFFFF" w:themeColor="background1"/>
              <w:right w:val="single" w:sz="4" w:space="0" w:color="FFFFFF" w:themeColor="background1"/>
            </w:tcBorders>
            <w:vAlign w:val="center"/>
          </w:tcPr>
          <w:p w:rsidR="001C1C78" w:rsidRDefault="001C1C78" w:rsidP="00E14F3D">
            <w:pPr>
              <w:spacing w:after="120" w:line="276" w:lineRule="auto"/>
            </w:pPr>
            <w:r>
              <w:t xml:space="preserve">SDC </w:t>
            </w:r>
            <w:r w:rsidR="00E14F3D">
              <w:t>improvements and reimbursements (streets and bicycle/pedestrian SDC funds)</w:t>
            </w:r>
          </w:p>
        </w:tc>
        <w:tc>
          <w:tcPr>
            <w:tcW w:w="2790" w:type="dxa"/>
            <w:tcBorders>
              <w:left w:val="single" w:sz="4" w:space="0" w:color="FFFFFF" w:themeColor="background1"/>
              <w:right w:val="single" w:sz="4" w:space="0" w:color="FFFFFF" w:themeColor="background1"/>
            </w:tcBorders>
            <w:vAlign w:val="center"/>
          </w:tcPr>
          <w:p w:rsidR="001C1C78" w:rsidRDefault="001C1C78" w:rsidP="009C658F">
            <w:pPr>
              <w:spacing w:after="120" w:line="276" w:lineRule="auto"/>
              <w:jc w:val="center"/>
            </w:pPr>
            <w:r>
              <w:t>$</w:t>
            </w:r>
            <w:r w:rsidR="009C658F">
              <w:t>345</w:t>
            </w:r>
            <w:r>
              <w:t>,000</w:t>
            </w:r>
          </w:p>
        </w:tc>
      </w:tr>
      <w:tr w:rsidR="001C1C78" w:rsidTr="00803FD0">
        <w:tc>
          <w:tcPr>
            <w:tcW w:w="6768" w:type="dxa"/>
            <w:tcBorders>
              <w:left w:val="single" w:sz="4" w:space="0" w:color="FFFFFF" w:themeColor="background1"/>
              <w:bottom w:val="single" w:sz="12" w:space="0" w:color="auto"/>
              <w:right w:val="single" w:sz="4" w:space="0" w:color="FFFFFF" w:themeColor="background1"/>
            </w:tcBorders>
            <w:vAlign w:val="center"/>
          </w:tcPr>
          <w:p w:rsidR="001C1C78" w:rsidRDefault="001C1C78" w:rsidP="00B7758D">
            <w:pPr>
              <w:spacing w:after="120" w:line="276" w:lineRule="auto"/>
            </w:pPr>
            <w:r>
              <w:t>Miscellaneous</w:t>
            </w:r>
          </w:p>
        </w:tc>
        <w:tc>
          <w:tcPr>
            <w:tcW w:w="2790" w:type="dxa"/>
            <w:tcBorders>
              <w:left w:val="single" w:sz="4" w:space="0" w:color="FFFFFF" w:themeColor="background1"/>
              <w:bottom w:val="single" w:sz="12" w:space="0" w:color="auto"/>
              <w:right w:val="single" w:sz="4" w:space="0" w:color="FFFFFF" w:themeColor="background1"/>
            </w:tcBorders>
            <w:vAlign w:val="center"/>
          </w:tcPr>
          <w:p w:rsidR="001C1C78" w:rsidRDefault="001C1C78" w:rsidP="00B7758D">
            <w:pPr>
              <w:spacing w:after="120" w:line="276" w:lineRule="auto"/>
              <w:jc w:val="center"/>
            </w:pPr>
            <w:r>
              <w:t>$30,000</w:t>
            </w:r>
          </w:p>
        </w:tc>
      </w:tr>
      <w:tr w:rsidR="001C1C78" w:rsidTr="00803FD0">
        <w:tc>
          <w:tcPr>
            <w:tcW w:w="6768"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rsidR="001C1C78" w:rsidRPr="00D83CC1" w:rsidRDefault="001C1C78" w:rsidP="00B7758D">
            <w:pPr>
              <w:spacing w:after="120" w:line="276" w:lineRule="auto"/>
              <w:rPr>
                <w:b/>
              </w:rPr>
            </w:pPr>
            <w:r w:rsidRPr="00D83CC1">
              <w:rPr>
                <w:b/>
              </w:rPr>
              <w:t>Total</w:t>
            </w:r>
          </w:p>
        </w:tc>
        <w:tc>
          <w:tcPr>
            <w:tcW w:w="2790"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rsidR="001C1C78" w:rsidRPr="006B10A8" w:rsidRDefault="001C1C78" w:rsidP="009C658F">
            <w:pPr>
              <w:spacing w:after="120" w:line="276" w:lineRule="auto"/>
              <w:jc w:val="center"/>
              <w:rPr>
                <w:b/>
              </w:rPr>
            </w:pPr>
            <w:r w:rsidRPr="006B10A8">
              <w:rPr>
                <w:b/>
              </w:rPr>
              <w:t>$3,</w:t>
            </w:r>
            <w:r w:rsidR="009C658F">
              <w:rPr>
                <w:b/>
              </w:rPr>
              <w:t>228</w:t>
            </w:r>
            <w:r w:rsidRPr="006B10A8">
              <w:rPr>
                <w:b/>
              </w:rPr>
              <w:t>,000</w:t>
            </w:r>
          </w:p>
        </w:tc>
      </w:tr>
    </w:tbl>
    <w:p w:rsidR="001D0094" w:rsidRPr="006D67AB" w:rsidRDefault="001D0094" w:rsidP="00B00EEC">
      <w:pPr>
        <w:spacing w:after="240" w:line="276" w:lineRule="auto"/>
        <w:rPr>
          <w:rFonts w:ascii="Trajan Pro" w:hAnsi="Trajan Pro"/>
          <w:b/>
          <w:sz w:val="24"/>
        </w:rPr>
      </w:pPr>
      <w:r>
        <w:rPr>
          <w:rFonts w:ascii="Trajan Pro" w:hAnsi="Trajan Pro"/>
          <w:b/>
          <w:sz w:val="24"/>
        </w:rPr>
        <w:lastRenderedPageBreak/>
        <w:t xml:space="preserve">Funding Outlook </w:t>
      </w:r>
    </w:p>
    <w:p w:rsidR="0099716B" w:rsidRDefault="0099716B" w:rsidP="00B00EEC">
      <w:pPr>
        <w:spacing w:after="120" w:line="276" w:lineRule="auto"/>
      </w:pPr>
      <w:r>
        <w:t>Other communities in the Portland Metropolitan region have been adding shopping and business opportunities in an effort to allow their citizens to have fulfilling lives without having to jump in a car and drive for necessary items.  In the most recent community survey, 90 percent of the respondents agree that the City of West Linn should actively encourage economic development in existing commercial areas in the City (City of West Linn, 2014).</w:t>
      </w:r>
    </w:p>
    <w:p w:rsidR="00D83CC1" w:rsidRDefault="00282B08" w:rsidP="0099716B">
      <w:pPr>
        <w:spacing w:after="120" w:line="276" w:lineRule="auto"/>
      </w:pPr>
      <w:r>
        <w:t>Table 1 summarizes the current and expected transportation revenues the City will collect between now and 2040.</w:t>
      </w:r>
    </w:p>
    <w:p w:rsidR="00364976" w:rsidRDefault="00364976" w:rsidP="00D83CC1">
      <w:pPr>
        <w:pStyle w:val="Caption"/>
        <w:keepNext/>
      </w:pPr>
    </w:p>
    <w:p w:rsidR="00D83CC1" w:rsidRDefault="00D83CC1" w:rsidP="00D83CC1">
      <w:pPr>
        <w:pStyle w:val="Caption"/>
        <w:keepNext/>
      </w:pPr>
      <w:r>
        <w:t xml:space="preserve">Table </w:t>
      </w:r>
      <w:fldSimple w:instr=" SEQ Table \* ARABIC ">
        <w:r w:rsidR="005E067E">
          <w:rPr>
            <w:noProof/>
          </w:rPr>
          <w:t>2</w:t>
        </w:r>
      </w:fldSimple>
      <w:r>
        <w:t xml:space="preserve"> Forecasted Transportation Plan Revenues</w:t>
      </w:r>
    </w:p>
    <w:tbl>
      <w:tblPr>
        <w:tblStyle w:val="TableGrid"/>
        <w:tblW w:w="0" w:type="auto"/>
        <w:tblLook w:val="04A0" w:firstRow="1" w:lastRow="0" w:firstColumn="1" w:lastColumn="0" w:noHBand="0" w:noVBand="1"/>
      </w:tblPr>
      <w:tblGrid>
        <w:gridCol w:w="3192"/>
        <w:gridCol w:w="2856"/>
        <w:gridCol w:w="3528"/>
      </w:tblGrid>
      <w:tr w:rsidR="00D83CC1" w:rsidTr="00E50BAF">
        <w:trPr>
          <w:trHeight w:val="485"/>
        </w:trPr>
        <w:tc>
          <w:tcPr>
            <w:tcW w:w="3192"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D83CC1" w:rsidRPr="00D83CC1" w:rsidRDefault="00D83CC1" w:rsidP="007979FA">
            <w:pPr>
              <w:spacing w:after="120" w:line="276" w:lineRule="auto"/>
              <w:rPr>
                <w:b/>
              </w:rPr>
            </w:pPr>
            <w:r w:rsidRPr="00D83CC1">
              <w:rPr>
                <w:b/>
              </w:rPr>
              <w:t>Revenue</w:t>
            </w:r>
          </w:p>
        </w:tc>
        <w:tc>
          <w:tcPr>
            <w:tcW w:w="2856"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D83CC1" w:rsidRPr="00D83CC1" w:rsidRDefault="00D83CC1" w:rsidP="007979FA">
            <w:pPr>
              <w:spacing w:after="120" w:line="276" w:lineRule="auto"/>
              <w:jc w:val="center"/>
              <w:rPr>
                <w:b/>
              </w:rPr>
            </w:pPr>
            <w:r w:rsidRPr="00D83CC1">
              <w:rPr>
                <w:b/>
              </w:rPr>
              <w:t>FY 2014 Amount</w:t>
            </w:r>
          </w:p>
        </w:tc>
        <w:tc>
          <w:tcPr>
            <w:tcW w:w="352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D83CC1" w:rsidRPr="00D83CC1" w:rsidRDefault="00D83CC1" w:rsidP="007979FA">
            <w:pPr>
              <w:spacing w:after="120" w:line="276" w:lineRule="auto"/>
              <w:jc w:val="center"/>
              <w:rPr>
                <w:b/>
              </w:rPr>
            </w:pPr>
            <w:r w:rsidRPr="00D83CC1">
              <w:rPr>
                <w:b/>
              </w:rPr>
              <w:t>Estimated Through 2040</w:t>
            </w:r>
          </w:p>
        </w:tc>
      </w:tr>
      <w:tr w:rsidR="00D83CC1" w:rsidTr="00E50BAF">
        <w:trPr>
          <w:trHeight w:val="449"/>
        </w:trPr>
        <w:tc>
          <w:tcPr>
            <w:tcW w:w="3192" w:type="dxa"/>
            <w:tcBorders>
              <w:top w:val="single" w:sz="12" w:space="0" w:color="auto"/>
              <w:left w:val="single" w:sz="4" w:space="0" w:color="FFFFFF" w:themeColor="background1"/>
              <w:right w:val="single" w:sz="4" w:space="0" w:color="FFFFFF" w:themeColor="background1"/>
            </w:tcBorders>
            <w:vAlign w:val="center"/>
          </w:tcPr>
          <w:p w:rsidR="00D83CC1" w:rsidRDefault="00D83CC1" w:rsidP="007979FA">
            <w:pPr>
              <w:spacing w:after="120" w:line="276" w:lineRule="auto"/>
            </w:pPr>
            <w:r>
              <w:t>State gas tax and license fees</w:t>
            </w:r>
          </w:p>
        </w:tc>
        <w:tc>
          <w:tcPr>
            <w:tcW w:w="2856" w:type="dxa"/>
            <w:tcBorders>
              <w:top w:val="single" w:sz="12" w:space="0" w:color="auto"/>
              <w:left w:val="single" w:sz="4" w:space="0" w:color="FFFFFF" w:themeColor="background1"/>
              <w:right w:val="single" w:sz="4" w:space="0" w:color="FFFFFF" w:themeColor="background1"/>
            </w:tcBorders>
            <w:vAlign w:val="center"/>
          </w:tcPr>
          <w:p w:rsidR="00D83CC1" w:rsidRDefault="006B10A8" w:rsidP="00D83CC1">
            <w:pPr>
              <w:spacing w:after="120" w:line="276" w:lineRule="auto"/>
              <w:jc w:val="center"/>
            </w:pPr>
            <w:r>
              <w:t>$1,414,000</w:t>
            </w:r>
          </w:p>
        </w:tc>
        <w:tc>
          <w:tcPr>
            <w:tcW w:w="3528" w:type="dxa"/>
            <w:tcBorders>
              <w:top w:val="single" w:sz="12" w:space="0" w:color="auto"/>
              <w:left w:val="single" w:sz="4" w:space="0" w:color="FFFFFF" w:themeColor="background1"/>
              <w:right w:val="single" w:sz="4" w:space="0" w:color="FFFFFF" w:themeColor="background1"/>
            </w:tcBorders>
            <w:vAlign w:val="center"/>
          </w:tcPr>
          <w:p w:rsidR="00D83CC1" w:rsidRDefault="00D83CC1" w:rsidP="00D83CC1">
            <w:pPr>
              <w:spacing w:after="120" w:line="276" w:lineRule="auto"/>
              <w:jc w:val="center"/>
            </w:pPr>
            <w:r>
              <w:t>$</w:t>
            </w:r>
            <w:r w:rsidR="006B10A8">
              <w:t>42,155,000</w:t>
            </w:r>
          </w:p>
        </w:tc>
      </w:tr>
      <w:tr w:rsidR="00D83CC1" w:rsidTr="00E50BAF">
        <w:tc>
          <w:tcPr>
            <w:tcW w:w="3192" w:type="dxa"/>
            <w:tcBorders>
              <w:left w:val="single" w:sz="4" w:space="0" w:color="FFFFFF" w:themeColor="background1"/>
              <w:right w:val="single" w:sz="4" w:space="0" w:color="FFFFFF" w:themeColor="background1"/>
            </w:tcBorders>
            <w:vAlign w:val="center"/>
          </w:tcPr>
          <w:p w:rsidR="00D83CC1" w:rsidRDefault="00D83CC1" w:rsidP="007979FA">
            <w:pPr>
              <w:spacing w:after="120" w:line="276" w:lineRule="auto"/>
            </w:pPr>
            <w:r>
              <w:t>Roadway maintenance fee</w:t>
            </w:r>
          </w:p>
        </w:tc>
        <w:tc>
          <w:tcPr>
            <w:tcW w:w="2856" w:type="dxa"/>
            <w:tcBorders>
              <w:left w:val="single" w:sz="4" w:space="0" w:color="FFFFFF" w:themeColor="background1"/>
              <w:right w:val="single" w:sz="4" w:space="0" w:color="FFFFFF" w:themeColor="background1"/>
            </w:tcBorders>
            <w:vAlign w:val="center"/>
          </w:tcPr>
          <w:p w:rsidR="00D83CC1" w:rsidRDefault="006B10A8" w:rsidP="00D83CC1">
            <w:pPr>
              <w:spacing w:after="120" w:line="276" w:lineRule="auto"/>
              <w:jc w:val="center"/>
            </w:pPr>
            <w:r>
              <w:t>$1,319,000</w:t>
            </w:r>
          </w:p>
        </w:tc>
        <w:tc>
          <w:tcPr>
            <w:tcW w:w="3528" w:type="dxa"/>
            <w:tcBorders>
              <w:left w:val="single" w:sz="4" w:space="0" w:color="FFFFFF" w:themeColor="background1"/>
              <w:right w:val="single" w:sz="4" w:space="0" w:color="FFFFFF" w:themeColor="background1"/>
            </w:tcBorders>
            <w:vAlign w:val="center"/>
          </w:tcPr>
          <w:p w:rsidR="00D83CC1" w:rsidRDefault="006B10A8" w:rsidP="00D83CC1">
            <w:pPr>
              <w:spacing w:after="120" w:line="276" w:lineRule="auto"/>
              <w:jc w:val="center"/>
            </w:pPr>
            <w:r>
              <w:t>$75,251,000</w:t>
            </w:r>
          </w:p>
        </w:tc>
      </w:tr>
      <w:tr w:rsidR="00D83CC1" w:rsidTr="00E50BAF">
        <w:tc>
          <w:tcPr>
            <w:tcW w:w="3192" w:type="dxa"/>
            <w:tcBorders>
              <w:left w:val="single" w:sz="4" w:space="0" w:color="FFFFFF" w:themeColor="background1"/>
              <w:right w:val="single" w:sz="4" w:space="0" w:color="FFFFFF" w:themeColor="background1"/>
            </w:tcBorders>
            <w:vAlign w:val="center"/>
          </w:tcPr>
          <w:p w:rsidR="00D83CC1" w:rsidRDefault="00D83CC1" w:rsidP="007979FA">
            <w:pPr>
              <w:spacing w:after="120" w:line="276" w:lineRule="auto"/>
            </w:pPr>
            <w:r>
              <w:t>Franchise fees</w:t>
            </w:r>
          </w:p>
        </w:tc>
        <w:tc>
          <w:tcPr>
            <w:tcW w:w="2856" w:type="dxa"/>
            <w:tcBorders>
              <w:left w:val="single" w:sz="4" w:space="0" w:color="FFFFFF" w:themeColor="background1"/>
              <w:right w:val="single" w:sz="4" w:space="0" w:color="FFFFFF" w:themeColor="background1"/>
            </w:tcBorders>
            <w:vAlign w:val="center"/>
          </w:tcPr>
          <w:p w:rsidR="00D83CC1" w:rsidRDefault="006B10A8" w:rsidP="00D83CC1">
            <w:pPr>
              <w:spacing w:after="120" w:line="276" w:lineRule="auto"/>
              <w:jc w:val="center"/>
            </w:pPr>
            <w:r>
              <w:t>$120,000</w:t>
            </w:r>
          </w:p>
        </w:tc>
        <w:tc>
          <w:tcPr>
            <w:tcW w:w="3528" w:type="dxa"/>
            <w:tcBorders>
              <w:left w:val="single" w:sz="4" w:space="0" w:color="FFFFFF" w:themeColor="background1"/>
              <w:right w:val="single" w:sz="4" w:space="0" w:color="FFFFFF" w:themeColor="background1"/>
            </w:tcBorders>
            <w:vAlign w:val="center"/>
          </w:tcPr>
          <w:p w:rsidR="00D83CC1" w:rsidRDefault="006B10A8" w:rsidP="00D83CC1">
            <w:pPr>
              <w:spacing w:after="120" w:line="276" w:lineRule="auto"/>
              <w:jc w:val="center"/>
            </w:pPr>
            <w:r>
              <w:t>$6,425,000</w:t>
            </w:r>
          </w:p>
        </w:tc>
      </w:tr>
      <w:tr w:rsidR="006B10A8" w:rsidTr="00E50BAF">
        <w:tc>
          <w:tcPr>
            <w:tcW w:w="3192" w:type="dxa"/>
            <w:tcBorders>
              <w:left w:val="single" w:sz="4" w:space="0" w:color="FFFFFF" w:themeColor="background1"/>
              <w:right w:val="single" w:sz="4" w:space="0" w:color="FFFFFF" w:themeColor="background1"/>
            </w:tcBorders>
            <w:vAlign w:val="center"/>
          </w:tcPr>
          <w:p w:rsidR="006B10A8" w:rsidRDefault="006B10A8" w:rsidP="007979FA">
            <w:pPr>
              <w:spacing w:after="120" w:line="276" w:lineRule="auto"/>
            </w:pPr>
            <w:r>
              <w:t>SDC</w:t>
            </w:r>
            <w:r w:rsidR="009C658F">
              <w:t>s</w:t>
            </w:r>
          </w:p>
        </w:tc>
        <w:tc>
          <w:tcPr>
            <w:tcW w:w="2856" w:type="dxa"/>
            <w:tcBorders>
              <w:left w:val="single" w:sz="4" w:space="0" w:color="FFFFFF" w:themeColor="background1"/>
              <w:right w:val="single" w:sz="4" w:space="0" w:color="FFFFFF" w:themeColor="background1"/>
            </w:tcBorders>
            <w:vAlign w:val="center"/>
          </w:tcPr>
          <w:p w:rsidR="006B10A8" w:rsidRDefault="006B10A8" w:rsidP="009C658F">
            <w:pPr>
              <w:spacing w:after="120" w:line="276" w:lineRule="auto"/>
              <w:jc w:val="center"/>
            </w:pPr>
            <w:r>
              <w:t>$</w:t>
            </w:r>
            <w:r w:rsidR="009C658F">
              <w:t>345</w:t>
            </w:r>
            <w:r>
              <w:t>,000</w:t>
            </w:r>
          </w:p>
        </w:tc>
        <w:tc>
          <w:tcPr>
            <w:tcW w:w="3528" w:type="dxa"/>
            <w:tcBorders>
              <w:left w:val="single" w:sz="4" w:space="0" w:color="FFFFFF" w:themeColor="background1"/>
              <w:right w:val="single" w:sz="4" w:space="0" w:color="FFFFFF" w:themeColor="background1"/>
            </w:tcBorders>
            <w:vAlign w:val="center"/>
          </w:tcPr>
          <w:p w:rsidR="006B10A8" w:rsidRDefault="006B10A8" w:rsidP="002114A4">
            <w:pPr>
              <w:spacing w:after="120" w:line="276" w:lineRule="auto"/>
              <w:jc w:val="center"/>
            </w:pPr>
            <w:r>
              <w:t>$4,</w:t>
            </w:r>
            <w:r w:rsidR="002114A4">
              <w:t>552</w:t>
            </w:r>
            <w:r>
              <w:t>,000</w:t>
            </w:r>
            <w:r w:rsidR="002114A4">
              <w:rPr>
                <w:rStyle w:val="FootnoteReference"/>
              </w:rPr>
              <w:footnoteReference w:id="2"/>
            </w:r>
          </w:p>
        </w:tc>
      </w:tr>
      <w:tr w:rsidR="00D83CC1" w:rsidTr="00E50BAF">
        <w:tc>
          <w:tcPr>
            <w:tcW w:w="3192" w:type="dxa"/>
            <w:tcBorders>
              <w:left w:val="single" w:sz="4" w:space="0" w:color="FFFFFF" w:themeColor="background1"/>
              <w:bottom w:val="single" w:sz="12" w:space="0" w:color="auto"/>
              <w:right w:val="single" w:sz="4" w:space="0" w:color="FFFFFF" w:themeColor="background1"/>
            </w:tcBorders>
            <w:vAlign w:val="center"/>
          </w:tcPr>
          <w:p w:rsidR="00D83CC1" w:rsidRDefault="00D83CC1" w:rsidP="007979FA">
            <w:pPr>
              <w:spacing w:after="120" w:line="276" w:lineRule="auto"/>
            </w:pPr>
            <w:r>
              <w:t>Miscellaneous</w:t>
            </w:r>
          </w:p>
        </w:tc>
        <w:tc>
          <w:tcPr>
            <w:tcW w:w="2856" w:type="dxa"/>
            <w:tcBorders>
              <w:left w:val="single" w:sz="4" w:space="0" w:color="FFFFFF" w:themeColor="background1"/>
              <w:bottom w:val="single" w:sz="12" w:space="0" w:color="auto"/>
              <w:right w:val="single" w:sz="4" w:space="0" w:color="FFFFFF" w:themeColor="background1"/>
            </w:tcBorders>
            <w:vAlign w:val="center"/>
          </w:tcPr>
          <w:p w:rsidR="00D83CC1" w:rsidRDefault="006B10A8" w:rsidP="00D83CC1">
            <w:pPr>
              <w:spacing w:after="120" w:line="276" w:lineRule="auto"/>
              <w:jc w:val="center"/>
            </w:pPr>
            <w:r>
              <w:t>$30,000</w:t>
            </w:r>
          </w:p>
        </w:tc>
        <w:tc>
          <w:tcPr>
            <w:tcW w:w="3528" w:type="dxa"/>
            <w:tcBorders>
              <w:left w:val="single" w:sz="4" w:space="0" w:color="FFFFFF" w:themeColor="background1"/>
              <w:bottom w:val="single" w:sz="12" w:space="0" w:color="auto"/>
              <w:right w:val="single" w:sz="4" w:space="0" w:color="FFFFFF" w:themeColor="background1"/>
            </w:tcBorders>
            <w:vAlign w:val="center"/>
          </w:tcPr>
          <w:p w:rsidR="00D83CC1" w:rsidRDefault="006B10A8" w:rsidP="00D83CC1">
            <w:pPr>
              <w:spacing w:after="120" w:line="276" w:lineRule="auto"/>
              <w:jc w:val="center"/>
            </w:pPr>
            <w:r>
              <w:t>$1,131,000</w:t>
            </w:r>
          </w:p>
        </w:tc>
      </w:tr>
      <w:tr w:rsidR="00D83CC1" w:rsidTr="00E50BAF">
        <w:tc>
          <w:tcPr>
            <w:tcW w:w="3192"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rsidR="00D83CC1" w:rsidRPr="00D83CC1" w:rsidRDefault="00D83CC1" w:rsidP="007979FA">
            <w:pPr>
              <w:spacing w:after="120" w:line="276" w:lineRule="auto"/>
              <w:rPr>
                <w:b/>
              </w:rPr>
            </w:pPr>
            <w:r w:rsidRPr="00D83CC1">
              <w:rPr>
                <w:b/>
              </w:rPr>
              <w:t>Total</w:t>
            </w:r>
          </w:p>
        </w:tc>
        <w:tc>
          <w:tcPr>
            <w:tcW w:w="2856"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rsidR="00D83CC1" w:rsidRPr="006B10A8" w:rsidRDefault="006B10A8" w:rsidP="009C658F">
            <w:pPr>
              <w:spacing w:after="120" w:line="276" w:lineRule="auto"/>
              <w:jc w:val="center"/>
              <w:rPr>
                <w:b/>
              </w:rPr>
            </w:pPr>
            <w:r w:rsidRPr="006B10A8">
              <w:rPr>
                <w:b/>
              </w:rPr>
              <w:t>$3,</w:t>
            </w:r>
            <w:r w:rsidR="009C658F">
              <w:rPr>
                <w:b/>
              </w:rPr>
              <w:t>228</w:t>
            </w:r>
            <w:r w:rsidRPr="006B10A8">
              <w:rPr>
                <w:b/>
              </w:rPr>
              <w:t>,000</w:t>
            </w:r>
          </w:p>
        </w:tc>
        <w:tc>
          <w:tcPr>
            <w:tcW w:w="3528"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rsidR="00D83CC1" w:rsidRPr="006B10A8" w:rsidRDefault="006B10A8" w:rsidP="009641A0">
            <w:pPr>
              <w:spacing w:after="120" w:line="276" w:lineRule="auto"/>
              <w:jc w:val="center"/>
              <w:rPr>
                <w:b/>
              </w:rPr>
            </w:pPr>
            <w:r w:rsidRPr="006B10A8">
              <w:rPr>
                <w:b/>
              </w:rPr>
              <w:t>$129,</w:t>
            </w:r>
            <w:r w:rsidR="009641A0">
              <w:rPr>
                <w:b/>
              </w:rPr>
              <w:t>514</w:t>
            </w:r>
            <w:r w:rsidRPr="006B10A8">
              <w:rPr>
                <w:b/>
              </w:rPr>
              <w:t>,000</w:t>
            </w:r>
          </w:p>
        </w:tc>
      </w:tr>
    </w:tbl>
    <w:p w:rsidR="00D83CC1" w:rsidRDefault="00D83CC1" w:rsidP="0099716B">
      <w:pPr>
        <w:spacing w:after="120" w:line="276" w:lineRule="auto"/>
      </w:pPr>
    </w:p>
    <w:p w:rsidR="00282B08" w:rsidRDefault="00282B08" w:rsidP="0099716B">
      <w:pPr>
        <w:spacing w:after="120" w:line="276" w:lineRule="auto"/>
      </w:pPr>
      <w:r>
        <w:t xml:space="preserve">Table 2 provides a summary of the expenses expected to be associated with transportation related improvements through 2040.  Accounting for personal, materials, and debt service, transfers to other funds and new equipment and vehicles, the City anticipates a balance of </w:t>
      </w:r>
      <w:r w:rsidR="002C0D5F">
        <w:t>$44.825 million for transportation improvements between now and 2040.</w:t>
      </w:r>
      <w:r>
        <w:t xml:space="preserve"> </w:t>
      </w:r>
    </w:p>
    <w:p w:rsidR="00364976" w:rsidRDefault="00364976" w:rsidP="00172C78">
      <w:pPr>
        <w:pStyle w:val="Caption"/>
        <w:keepNext/>
      </w:pPr>
    </w:p>
    <w:p w:rsidR="00172C78" w:rsidRDefault="00172C78" w:rsidP="00172C78">
      <w:pPr>
        <w:pStyle w:val="Caption"/>
        <w:keepNext/>
      </w:pPr>
      <w:r>
        <w:t xml:space="preserve">Table </w:t>
      </w:r>
      <w:fldSimple w:instr=" SEQ Table \* ARABIC ">
        <w:r w:rsidR="005E067E">
          <w:rPr>
            <w:noProof/>
          </w:rPr>
          <w:t>3</w:t>
        </w:r>
      </w:fldSimple>
      <w:r>
        <w:t xml:space="preserve"> Forecasted Street Fund Expenses</w:t>
      </w:r>
    </w:p>
    <w:tbl>
      <w:tblPr>
        <w:tblStyle w:val="TableGrid"/>
        <w:tblW w:w="0" w:type="auto"/>
        <w:tblLook w:val="04A0" w:firstRow="1" w:lastRow="0" w:firstColumn="1" w:lastColumn="0" w:noHBand="0" w:noVBand="1"/>
      </w:tblPr>
      <w:tblGrid>
        <w:gridCol w:w="1638"/>
        <w:gridCol w:w="2610"/>
        <w:gridCol w:w="2070"/>
        <w:gridCol w:w="3258"/>
      </w:tblGrid>
      <w:tr w:rsidR="00172C78" w:rsidTr="00E50BAF">
        <w:trPr>
          <w:trHeight w:val="503"/>
        </w:trPr>
        <w:tc>
          <w:tcPr>
            <w:tcW w:w="4248"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172C78" w:rsidRPr="00CE5730" w:rsidRDefault="00172C78" w:rsidP="007464E0">
            <w:pPr>
              <w:spacing w:after="120" w:line="276" w:lineRule="auto"/>
              <w:rPr>
                <w:b/>
              </w:rPr>
            </w:pPr>
            <w:r w:rsidRPr="00CE5730">
              <w:rPr>
                <w:b/>
              </w:rPr>
              <w:t>Expenses</w:t>
            </w:r>
          </w:p>
        </w:tc>
        <w:tc>
          <w:tcPr>
            <w:tcW w:w="207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172C78" w:rsidRPr="00CE5730" w:rsidRDefault="00172C78" w:rsidP="007464E0">
            <w:pPr>
              <w:spacing w:after="120" w:line="276" w:lineRule="auto"/>
              <w:jc w:val="center"/>
              <w:rPr>
                <w:b/>
              </w:rPr>
            </w:pPr>
            <w:r w:rsidRPr="00CE5730">
              <w:rPr>
                <w:b/>
              </w:rPr>
              <w:t>FY 2014 Amount</w:t>
            </w:r>
          </w:p>
        </w:tc>
        <w:tc>
          <w:tcPr>
            <w:tcW w:w="325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172C78" w:rsidRPr="00CE5730" w:rsidRDefault="00172C78" w:rsidP="007464E0">
            <w:pPr>
              <w:spacing w:after="120" w:line="276" w:lineRule="auto"/>
              <w:jc w:val="center"/>
              <w:rPr>
                <w:b/>
              </w:rPr>
            </w:pPr>
            <w:r w:rsidRPr="00CE5730">
              <w:rPr>
                <w:b/>
              </w:rPr>
              <w:t>Estimated Through 2040</w:t>
            </w:r>
          </w:p>
        </w:tc>
      </w:tr>
      <w:tr w:rsidR="00172C78" w:rsidTr="00E50BAF">
        <w:trPr>
          <w:trHeight w:val="483"/>
        </w:trPr>
        <w:tc>
          <w:tcPr>
            <w:tcW w:w="4248" w:type="dxa"/>
            <w:gridSpan w:val="2"/>
            <w:tcBorders>
              <w:top w:val="single" w:sz="12" w:space="0" w:color="auto"/>
              <w:left w:val="single" w:sz="4" w:space="0" w:color="FFFFFF" w:themeColor="background1"/>
              <w:right w:val="single" w:sz="4" w:space="0" w:color="FFFFFF" w:themeColor="background1"/>
            </w:tcBorders>
            <w:vAlign w:val="center"/>
          </w:tcPr>
          <w:p w:rsidR="00172C78" w:rsidRDefault="00172C78" w:rsidP="00FC7688">
            <w:pPr>
              <w:spacing w:after="120" w:line="276" w:lineRule="auto"/>
            </w:pPr>
            <w:r>
              <w:t>Personal Services</w:t>
            </w:r>
          </w:p>
        </w:tc>
        <w:tc>
          <w:tcPr>
            <w:tcW w:w="2070" w:type="dxa"/>
            <w:tcBorders>
              <w:top w:val="single" w:sz="12" w:space="0" w:color="auto"/>
              <w:left w:val="single" w:sz="4" w:space="0" w:color="FFFFFF" w:themeColor="background1"/>
              <w:right w:val="single" w:sz="4" w:space="0" w:color="FFFFFF" w:themeColor="background1"/>
            </w:tcBorders>
            <w:vAlign w:val="center"/>
          </w:tcPr>
          <w:p w:rsidR="00172C78" w:rsidRDefault="00172C78" w:rsidP="00CE5730">
            <w:pPr>
              <w:spacing w:after="120" w:line="276" w:lineRule="auto"/>
              <w:jc w:val="center"/>
            </w:pPr>
            <w:r>
              <w:t>$582,000</w:t>
            </w:r>
          </w:p>
        </w:tc>
        <w:tc>
          <w:tcPr>
            <w:tcW w:w="3258" w:type="dxa"/>
            <w:tcBorders>
              <w:top w:val="single" w:sz="12" w:space="0" w:color="auto"/>
              <w:left w:val="single" w:sz="4" w:space="0" w:color="FFFFFF" w:themeColor="background1"/>
              <w:right w:val="single" w:sz="4" w:space="0" w:color="FFFFFF" w:themeColor="background1"/>
            </w:tcBorders>
            <w:vAlign w:val="center"/>
          </w:tcPr>
          <w:p w:rsidR="00172C78" w:rsidRDefault="00172C78" w:rsidP="00CE5730">
            <w:pPr>
              <w:spacing w:after="120" w:line="276" w:lineRule="auto"/>
              <w:jc w:val="center"/>
            </w:pPr>
            <w:r>
              <w:t>$26,775,000</w:t>
            </w:r>
          </w:p>
        </w:tc>
      </w:tr>
      <w:tr w:rsidR="00172C78" w:rsidTr="00E50BAF">
        <w:tc>
          <w:tcPr>
            <w:tcW w:w="4248" w:type="dxa"/>
            <w:gridSpan w:val="2"/>
            <w:tcBorders>
              <w:left w:val="single" w:sz="4" w:space="0" w:color="FFFFFF" w:themeColor="background1"/>
              <w:right w:val="single" w:sz="4" w:space="0" w:color="FFFFFF" w:themeColor="background1"/>
            </w:tcBorders>
            <w:vAlign w:val="center"/>
          </w:tcPr>
          <w:p w:rsidR="00172C78" w:rsidRDefault="00172C78" w:rsidP="00FC7688">
            <w:pPr>
              <w:spacing w:after="120" w:line="276" w:lineRule="auto"/>
            </w:pPr>
            <w:r>
              <w:t>Materials and Services</w:t>
            </w:r>
          </w:p>
        </w:tc>
        <w:tc>
          <w:tcPr>
            <w:tcW w:w="2070" w:type="dxa"/>
            <w:tcBorders>
              <w:left w:val="single" w:sz="4" w:space="0" w:color="FFFFFF" w:themeColor="background1"/>
              <w:right w:val="single" w:sz="4" w:space="0" w:color="FFFFFF" w:themeColor="background1"/>
            </w:tcBorders>
            <w:vAlign w:val="center"/>
          </w:tcPr>
          <w:p w:rsidR="00172C78" w:rsidRDefault="00172C78" w:rsidP="00CE5730">
            <w:pPr>
              <w:spacing w:after="120" w:line="276" w:lineRule="auto"/>
              <w:jc w:val="center"/>
            </w:pPr>
            <w:r>
              <w:t>$498,000</w:t>
            </w:r>
          </w:p>
        </w:tc>
        <w:tc>
          <w:tcPr>
            <w:tcW w:w="3258" w:type="dxa"/>
            <w:tcBorders>
              <w:left w:val="single" w:sz="4" w:space="0" w:color="FFFFFF" w:themeColor="background1"/>
              <w:right w:val="single" w:sz="4" w:space="0" w:color="FFFFFF" w:themeColor="background1"/>
            </w:tcBorders>
            <w:vAlign w:val="center"/>
          </w:tcPr>
          <w:p w:rsidR="00172C78" w:rsidRDefault="00172C78" w:rsidP="00CE5730">
            <w:pPr>
              <w:spacing w:after="120" w:line="276" w:lineRule="auto"/>
              <w:jc w:val="center"/>
            </w:pPr>
            <w:r>
              <w:t>$20</w:t>
            </w:r>
            <w:r w:rsidR="00CE5730">
              <w:t>,</w:t>
            </w:r>
            <w:r>
              <w:t>289,000</w:t>
            </w:r>
          </w:p>
        </w:tc>
      </w:tr>
      <w:tr w:rsidR="00172C78" w:rsidTr="00E50BAF">
        <w:tc>
          <w:tcPr>
            <w:tcW w:w="4248" w:type="dxa"/>
            <w:gridSpan w:val="2"/>
            <w:tcBorders>
              <w:left w:val="single" w:sz="4" w:space="0" w:color="FFFFFF" w:themeColor="background1"/>
              <w:right w:val="single" w:sz="4" w:space="0" w:color="FFFFFF" w:themeColor="background1"/>
            </w:tcBorders>
            <w:vAlign w:val="center"/>
          </w:tcPr>
          <w:p w:rsidR="00172C78" w:rsidRDefault="00172C78" w:rsidP="00FC7688">
            <w:pPr>
              <w:spacing w:after="120" w:line="276" w:lineRule="auto"/>
            </w:pPr>
            <w:r>
              <w:t>Debt Service</w:t>
            </w:r>
          </w:p>
        </w:tc>
        <w:tc>
          <w:tcPr>
            <w:tcW w:w="2070" w:type="dxa"/>
            <w:tcBorders>
              <w:left w:val="single" w:sz="4" w:space="0" w:color="FFFFFF" w:themeColor="background1"/>
              <w:right w:val="single" w:sz="4" w:space="0" w:color="FFFFFF" w:themeColor="background1"/>
            </w:tcBorders>
            <w:vAlign w:val="center"/>
          </w:tcPr>
          <w:p w:rsidR="00172C78" w:rsidRDefault="00172C78" w:rsidP="00CE5730">
            <w:pPr>
              <w:spacing w:after="120" w:line="276" w:lineRule="auto"/>
              <w:jc w:val="center"/>
            </w:pPr>
            <w:r>
              <w:t>$152,000</w:t>
            </w:r>
          </w:p>
        </w:tc>
        <w:tc>
          <w:tcPr>
            <w:tcW w:w="3258" w:type="dxa"/>
            <w:tcBorders>
              <w:left w:val="single" w:sz="4" w:space="0" w:color="FFFFFF" w:themeColor="background1"/>
              <w:right w:val="single" w:sz="4" w:space="0" w:color="FFFFFF" w:themeColor="background1"/>
            </w:tcBorders>
            <w:vAlign w:val="center"/>
          </w:tcPr>
          <w:p w:rsidR="00172C78" w:rsidRDefault="00172C78" w:rsidP="00CE5730">
            <w:pPr>
              <w:spacing w:after="120" w:line="276" w:lineRule="auto"/>
              <w:jc w:val="center"/>
            </w:pPr>
            <w:r>
              <w:t>$2,280,000</w:t>
            </w:r>
          </w:p>
        </w:tc>
      </w:tr>
      <w:tr w:rsidR="00172C78" w:rsidTr="00E50BAF">
        <w:tc>
          <w:tcPr>
            <w:tcW w:w="4248" w:type="dxa"/>
            <w:gridSpan w:val="2"/>
            <w:tcBorders>
              <w:left w:val="single" w:sz="4" w:space="0" w:color="FFFFFF" w:themeColor="background1"/>
              <w:right w:val="single" w:sz="4" w:space="0" w:color="FFFFFF" w:themeColor="background1"/>
            </w:tcBorders>
            <w:vAlign w:val="center"/>
          </w:tcPr>
          <w:p w:rsidR="00172C78" w:rsidRDefault="00172C78" w:rsidP="00FC7688">
            <w:pPr>
              <w:spacing w:after="120" w:line="276" w:lineRule="auto"/>
            </w:pPr>
            <w:r>
              <w:t>Transfers to other Funds</w:t>
            </w:r>
          </w:p>
        </w:tc>
        <w:tc>
          <w:tcPr>
            <w:tcW w:w="2070" w:type="dxa"/>
            <w:tcBorders>
              <w:left w:val="single" w:sz="4" w:space="0" w:color="FFFFFF" w:themeColor="background1"/>
              <w:right w:val="single" w:sz="4" w:space="0" w:color="FFFFFF" w:themeColor="background1"/>
            </w:tcBorders>
            <w:vAlign w:val="center"/>
          </w:tcPr>
          <w:p w:rsidR="00172C78" w:rsidRDefault="00172C78" w:rsidP="00CE5730">
            <w:pPr>
              <w:spacing w:after="120" w:line="276" w:lineRule="auto"/>
              <w:jc w:val="center"/>
            </w:pPr>
            <w:r>
              <w:t>$660,000</w:t>
            </w:r>
          </w:p>
        </w:tc>
        <w:tc>
          <w:tcPr>
            <w:tcW w:w="3258" w:type="dxa"/>
            <w:tcBorders>
              <w:left w:val="single" w:sz="4" w:space="0" w:color="FFFFFF" w:themeColor="background1"/>
              <w:right w:val="single" w:sz="4" w:space="0" w:color="FFFFFF" w:themeColor="background1"/>
            </w:tcBorders>
            <w:vAlign w:val="center"/>
          </w:tcPr>
          <w:p w:rsidR="00172C78" w:rsidRDefault="00172C78" w:rsidP="00CE5730">
            <w:pPr>
              <w:spacing w:after="120" w:line="276" w:lineRule="auto"/>
              <w:jc w:val="center"/>
            </w:pPr>
            <w:r>
              <w:t>$26,311,000</w:t>
            </w:r>
          </w:p>
        </w:tc>
      </w:tr>
      <w:tr w:rsidR="00FC7688" w:rsidTr="00E50BAF">
        <w:trPr>
          <w:trHeight w:val="548"/>
        </w:trPr>
        <w:tc>
          <w:tcPr>
            <w:tcW w:w="1638" w:type="dxa"/>
            <w:vMerge w:val="restart"/>
            <w:tcBorders>
              <w:left w:val="single" w:sz="4" w:space="0" w:color="FFFFFF" w:themeColor="background1"/>
            </w:tcBorders>
            <w:vAlign w:val="center"/>
          </w:tcPr>
          <w:p w:rsidR="00FC7688" w:rsidRDefault="00FC7688" w:rsidP="00D5326F">
            <w:pPr>
              <w:spacing w:after="120" w:line="276" w:lineRule="auto"/>
            </w:pPr>
            <w:r>
              <w:t>Capital Outlay</w:t>
            </w:r>
          </w:p>
        </w:tc>
        <w:tc>
          <w:tcPr>
            <w:tcW w:w="2610" w:type="dxa"/>
            <w:tcBorders>
              <w:right w:val="single" w:sz="4" w:space="0" w:color="FFFFFF" w:themeColor="background1"/>
            </w:tcBorders>
            <w:vAlign w:val="center"/>
          </w:tcPr>
          <w:p w:rsidR="00FC7688" w:rsidRDefault="00FC7688" w:rsidP="00FC7688">
            <w:pPr>
              <w:spacing w:after="120" w:line="276" w:lineRule="auto"/>
            </w:pPr>
            <w:r>
              <w:t>Street Capital Projects</w:t>
            </w:r>
          </w:p>
        </w:tc>
        <w:tc>
          <w:tcPr>
            <w:tcW w:w="2070" w:type="dxa"/>
            <w:tcBorders>
              <w:left w:val="single" w:sz="4" w:space="0" w:color="FFFFFF" w:themeColor="background1"/>
              <w:right w:val="single" w:sz="4" w:space="0" w:color="FFFFFF" w:themeColor="background1"/>
            </w:tcBorders>
            <w:vAlign w:val="center"/>
          </w:tcPr>
          <w:p w:rsidR="00FC7688" w:rsidRDefault="00FC7688" w:rsidP="00CE5730">
            <w:pPr>
              <w:spacing w:after="120" w:line="276" w:lineRule="auto"/>
              <w:jc w:val="center"/>
            </w:pPr>
            <w:r>
              <w:t>$993,000</w:t>
            </w:r>
          </w:p>
        </w:tc>
        <w:tc>
          <w:tcPr>
            <w:tcW w:w="3258" w:type="dxa"/>
            <w:tcBorders>
              <w:left w:val="single" w:sz="4" w:space="0" w:color="FFFFFF" w:themeColor="background1"/>
              <w:right w:val="single" w:sz="4" w:space="0" w:color="FFFFFF" w:themeColor="background1"/>
            </w:tcBorders>
            <w:vAlign w:val="center"/>
          </w:tcPr>
          <w:p w:rsidR="00FC7688" w:rsidRDefault="00FC7688" w:rsidP="00CE5730">
            <w:pPr>
              <w:spacing w:after="120" w:line="276" w:lineRule="auto"/>
              <w:jc w:val="center"/>
            </w:pPr>
            <w:r>
              <w:t>$49,690,000</w:t>
            </w:r>
          </w:p>
        </w:tc>
      </w:tr>
      <w:tr w:rsidR="00FC7688" w:rsidTr="00E50BAF">
        <w:trPr>
          <w:trHeight w:val="530"/>
        </w:trPr>
        <w:tc>
          <w:tcPr>
            <w:tcW w:w="1638" w:type="dxa"/>
            <w:vMerge/>
            <w:tcBorders>
              <w:left w:val="single" w:sz="4" w:space="0" w:color="FFFFFF" w:themeColor="background1"/>
              <w:bottom w:val="single" w:sz="2" w:space="0" w:color="auto"/>
            </w:tcBorders>
            <w:vAlign w:val="center"/>
          </w:tcPr>
          <w:p w:rsidR="00FC7688" w:rsidRDefault="00FC7688" w:rsidP="00FC7688">
            <w:pPr>
              <w:spacing w:after="120" w:line="276" w:lineRule="auto"/>
            </w:pPr>
          </w:p>
        </w:tc>
        <w:tc>
          <w:tcPr>
            <w:tcW w:w="2610" w:type="dxa"/>
            <w:tcBorders>
              <w:bottom w:val="single" w:sz="2" w:space="0" w:color="auto"/>
              <w:right w:val="single" w:sz="4" w:space="0" w:color="FFFFFF" w:themeColor="background1"/>
            </w:tcBorders>
            <w:vAlign w:val="center"/>
          </w:tcPr>
          <w:p w:rsidR="00FC7688" w:rsidRDefault="00FC7688" w:rsidP="00FC7688">
            <w:pPr>
              <w:spacing w:after="120" w:line="276" w:lineRule="auto"/>
            </w:pPr>
            <w:r>
              <w:t>Equipment and Vehicles</w:t>
            </w:r>
          </w:p>
        </w:tc>
        <w:tc>
          <w:tcPr>
            <w:tcW w:w="2070" w:type="dxa"/>
            <w:tcBorders>
              <w:left w:val="single" w:sz="4" w:space="0" w:color="FFFFFF" w:themeColor="background1"/>
              <w:bottom w:val="single" w:sz="2" w:space="0" w:color="auto"/>
              <w:right w:val="single" w:sz="4" w:space="0" w:color="FFFFFF" w:themeColor="background1"/>
            </w:tcBorders>
            <w:vAlign w:val="center"/>
          </w:tcPr>
          <w:p w:rsidR="00FC7688" w:rsidRDefault="00FC7688" w:rsidP="00CE5730">
            <w:pPr>
              <w:spacing w:after="120" w:line="276" w:lineRule="auto"/>
              <w:jc w:val="center"/>
            </w:pPr>
            <w:r>
              <w:t>$147,000</w:t>
            </w:r>
          </w:p>
        </w:tc>
        <w:tc>
          <w:tcPr>
            <w:tcW w:w="3258" w:type="dxa"/>
            <w:tcBorders>
              <w:left w:val="single" w:sz="4" w:space="0" w:color="FFFFFF" w:themeColor="background1"/>
              <w:bottom w:val="single" w:sz="2" w:space="0" w:color="auto"/>
              <w:right w:val="single" w:sz="4" w:space="0" w:color="FFFFFF" w:themeColor="background1"/>
            </w:tcBorders>
            <w:vAlign w:val="center"/>
          </w:tcPr>
          <w:p w:rsidR="00FC7688" w:rsidRDefault="00FC7688" w:rsidP="00CE5730">
            <w:pPr>
              <w:spacing w:after="120" w:line="276" w:lineRule="auto"/>
              <w:jc w:val="center"/>
            </w:pPr>
            <w:r>
              <w:t>$1,541,000</w:t>
            </w:r>
          </w:p>
        </w:tc>
      </w:tr>
      <w:tr w:rsidR="000A33F4" w:rsidTr="00E50BAF">
        <w:trPr>
          <w:trHeight w:val="562"/>
        </w:trPr>
        <w:tc>
          <w:tcPr>
            <w:tcW w:w="4248" w:type="dxa"/>
            <w:gridSpan w:val="2"/>
            <w:tcBorders>
              <w:top w:val="single" w:sz="2" w:space="0" w:color="auto"/>
              <w:left w:val="single" w:sz="4" w:space="0" w:color="FFFFFF" w:themeColor="background1"/>
              <w:bottom w:val="single" w:sz="12" w:space="0" w:color="auto"/>
              <w:right w:val="single" w:sz="4" w:space="0" w:color="FFFFFF" w:themeColor="background1"/>
            </w:tcBorders>
            <w:vAlign w:val="center"/>
          </w:tcPr>
          <w:p w:rsidR="000A33F4" w:rsidRDefault="000A33F4" w:rsidP="00FC7688">
            <w:pPr>
              <w:spacing w:after="120" w:line="276" w:lineRule="auto"/>
            </w:pPr>
            <w:r>
              <w:t>Reserve</w:t>
            </w:r>
          </w:p>
        </w:tc>
        <w:tc>
          <w:tcPr>
            <w:tcW w:w="2070" w:type="dxa"/>
            <w:tcBorders>
              <w:top w:val="single" w:sz="2" w:space="0" w:color="auto"/>
              <w:left w:val="single" w:sz="4" w:space="0" w:color="FFFFFF" w:themeColor="background1"/>
              <w:bottom w:val="single" w:sz="12" w:space="0" w:color="auto"/>
              <w:right w:val="single" w:sz="4" w:space="0" w:color="FFFFFF" w:themeColor="background1"/>
            </w:tcBorders>
            <w:vAlign w:val="center"/>
          </w:tcPr>
          <w:p w:rsidR="000A33F4" w:rsidRDefault="000A33F4" w:rsidP="00CE5730">
            <w:pPr>
              <w:spacing w:after="120" w:line="276" w:lineRule="auto"/>
              <w:jc w:val="center"/>
            </w:pPr>
            <w:r>
              <w:t>$162,000</w:t>
            </w:r>
          </w:p>
        </w:tc>
        <w:tc>
          <w:tcPr>
            <w:tcW w:w="3258" w:type="dxa"/>
            <w:tcBorders>
              <w:top w:val="single" w:sz="2" w:space="0" w:color="auto"/>
              <w:left w:val="single" w:sz="4" w:space="0" w:color="FFFFFF" w:themeColor="background1"/>
              <w:bottom w:val="single" w:sz="12" w:space="0" w:color="auto"/>
              <w:right w:val="single" w:sz="4" w:space="0" w:color="FFFFFF" w:themeColor="background1"/>
            </w:tcBorders>
            <w:vAlign w:val="center"/>
          </w:tcPr>
          <w:p w:rsidR="000A33F4" w:rsidRDefault="000A33F4" w:rsidP="00CE5730">
            <w:pPr>
              <w:spacing w:after="120" w:line="276" w:lineRule="auto"/>
              <w:jc w:val="center"/>
            </w:pPr>
            <w:r>
              <w:t>$7,060,000</w:t>
            </w:r>
          </w:p>
        </w:tc>
      </w:tr>
      <w:tr w:rsidR="00172C78" w:rsidTr="00E50BAF">
        <w:trPr>
          <w:trHeight w:val="510"/>
        </w:trPr>
        <w:tc>
          <w:tcPr>
            <w:tcW w:w="4248"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rsidR="00172C78" w:rsidRPr="00CE5730" w:rsidRDefault="00172C78" w:rsidP="00FC7688">
            <w:pPr>
              <w:spacing w:after="120" w:line="276" w:lineRule="auto"/>
              <w:rPr>
                <w:b/>
              </w:rPr>
            </w:pPr>
            <w:r w:rsidRPr="00CE5730">
              <w:rPr>
                <w:b/>
              </w:rPr>
              <w:t>Total</w:t>
            </w:r>
          </w:p>
        </w:tc>
        <w:tc>
          <w:tcPr>
            <w:tcW w:w="2070"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rsidR="00172C78" w:rsidRPr="00CE5730" w:rsidRDefault="00172C78" w:rsidP="009641A0">
            <w:pPr>
              <w:spacing w:after="120" w:line="276" w:lineRule="auto"/>
              <w:jc w:val="center"/>
              <w:rPr>
                <w:b/>
              </w:rPr>
            </w:pPr>
            <w:r w:rsidRPr="00CE5730">
              <w:rPr>
                <w:b/>
              </w:rPr>
              <w:t>$3,</w:t>
            </w:r>
            <w:r w:rsidR="009641A0">
              <w:rPr>
                <w:b/>
              </w:rPr>
              <w:t>162</w:t>
            </w:r>
            <w:r w:rsidRPr="00CE5730">
              <w:rPr>
                <w:b/>
              </w:rPr>
              <w:t>,000</w:t>
            </w:r>
          </w:p>
        </w:tc>
        <w:tc>
          <w:tcPr>
            <w:tcW w:w="3258" w:type="dxa"/>
            <w:tcBorders>
              <w:top w:val="single" w:sz="12" w:space="0" w:color="auto"/>
              <w:left w:val="single" w:sz="4" w:space="0" w:color="FFFFFF" w:themeColor="background1"/>
              <w:bottom w:val="single" w:sz="4" w:space="0" w:color="FFFFFF" w:themeColor="background1"/>
              <w:right w:val="single" w:sz="4" w:space="0" w:color="FFFFFF" w:themeColor="background1"/>
            </w:tcBorders>
            <w:vAlign w:val="center"/>
          </w:tcPr>
          <w:p w:rsidR="00172C78" w:rsidRPr="00CE5730" w:rsidRDefault="000A33F4" w:rsidP="000A33F4">
            <w:pPr>
              <w:spacing w:after="120" w:line="276" w:lineRule="auto"/>
              <w:jc w:val="center"/>
              <w:rPr>
                <w:b/>
              </w:rPr>
            </w:pPr>
            <w:r>
              <w:rPr>
                <w:b/>
              </w:rPr>
              <w:t>$133</w:t>
            </w:r>
            <w:r w:rsidR="00CE5730" w:rsidRPr="00CE5730">
              <w:rPr>
                <w:b/>
              </w:rPr>
              <w:t>,</w:t>
            </w:r>
            <w:r>
              <w:rPr>
                <w:b/>
              </w:rPr>
              <w:t>94</w:t>
            </w:r>
            <w:r w:rsidR="00CE5730" w:rsidRPr="00CE5730">
              <w:rPr>
                <w:b/>
              </w:rPr>
              <w:t>6,000</w:t>
            </w:r>
          </w:p>
        </w:tc>
      </w:tr>
    </w:tbl>
    <w:p w:rsidR="00172C78" w:rsidRDefault="00172C78" w:rsidP="0099716B">
      <w:pPr>
        <w:spacing w:after="120" w:line="276" w:lineRule="auto"/>
      </w:pPr>
    </w:p>
    <w:p w:rsidR="00364976" w:rsidRDefault="00364976" w:rsidP="001D0094">
      <w:pPr>
        <w:spacing w:after="120"/>
        <w:rPr>
          <w:rFonts w:asciiTheme="minorHAnsi" w:hAnsiTheme="minorHAnsi" w:cstheme="minorHAnsi"/>
          <w:i/>
          <w:sz w:val="24"/>
        </w:rPr>
        <w:sectPr w:rsidR="00364976" w:rsidSect="0033451B">
          <w:pgSz w:w="12240" w:h="15840" w:code="1"/>
          <w:pgMar w:top="1440" w:right="1440" w:bottom="1166" w:left="1440" w:header="720" w:footer="720" w:gutter="0"/>
          <w:cols w:space="720"/>
          <w:titlePg/>
          <w:docGrid w:linePitch="360"/>
        </w:sectPr>
      </w:pPr>
    </w:p>
    <w:p w:rsidR="00364976" w:rsidRPr="006D67AB" w:rsidRDefault="00364976" w:rsidP="00364976">
      <w:pPr>
        <w:spacing w:after="240"/>
        <w:rPr>
          <w:rFonts w:ascii="Trajan Pro" w:hAnsi="Trajan Pro"/>
          <w:b/>
          <w:sz w:val="24"/>
        </w:rPr>
      </w:pPr>
      <w:r>
        <w:rPr>
          <w:rFonts w:ascii="Trajan Pro" w:hAnsi="Trajan Pro"/>
          <w:b/>
          <w:sz w:val="24"/>
        </w:rPr>
        <w:lastRenderedPageBreak/>
        <w:t>Appendix</w:t>
      </w:r>
    </w:p>
    <w:p w:rsidR="00364976" w:rsidRDefault="00364976" w:rsidP="00364976">
      <w:pPr>
        <w:spacing w:after="120"/>
        <w:rPr>
          <w:rFonts w:asciiTheme="minorHAnsi" w:hAnsiTheme="minorHAnsi" w:cstheme="minorHAnsi"/>
          <w:i/>
          <w:sz w:val="24"/>
        </w:rPr>
      </w:pPr>
      <w:r>
        <w:rPr>
          <w:rFonts w:asciiTheme="minorHAnsi" w:hAnsiTheme="minorHAnsi" w:cstheme="minorHAnsi"/>
          <w:i/>
          <w:sz w:val="24"/>
        </w:rPr>
        <w:t>Roadway Capital Improvement Projects</w:t>
      </w:r>
    </w:p>
    <w:p w:rsidR="00364976" w:rsidRDefault="00364976" w:rsidP="00364976">
      <w:pPr>
        <w:spacing w:after="120" w:line="276" w:lineRule="auto"/>
      </w:pPr>
      <w:r>
        <w:t>The City of West Linn’s Capital Improvement Plan (CIP) involves a process through which the City develops a multi-year plan for major capital expenditures that matches available resources with project needs.  The CIP lists each proposed capital project, the estimated timeframe in which the project needs to be undertaken, the financial requirements for the project, and proposed methods of financing.  It also attempts to identify and plan for all major capital needs, and addresses capital items that are different from those covered under the capital outlay category in each department’s budget.</w:t>
      </w:r>
    </w:p>
    <w:p w:rsidR="00364976" w:rsidRDefault="00364976" w:rsidP="00364976">
      <w:pPr>
        <w:spacing w:after="120" w:line="276" w:lineRule="auto"/>
      </w:pPr>
      <w:r>
        <w:t xml:space="preserve">CIP improvements include construction and acquisition of new buildings, additions to or renovations of existing buildings, construction and reconstruction of streets, water and sanitary sewer improvements, drainage improvements, land purchases and major equipment purchases. </w:t>
      </w:r>
    </w:p>
    <w:p w:rsidR="00364976" w:rsidRDefault="00C44C89" w:rsidP="00364976">
      <w:pPr>
        <w:spacing w:after="240" w:line="276" w:lineRule="auto"/>
      </w:pPr>
      <w:r>
        <w:t>Table 3 provides a summary of the current</w:t>
      </w:r>
      <w:r w:rsidR="00364976">
        <w:t xml:space="preserve"> CIP</w:t>
      </w:r>
      <w:r>
        <w:t>, which</w:t>
      </w:r>
      <w:r w:rsidR="00364976">
        <w:t xml:space="preserve"> includes </w:t>
      </w:r>
      <w:r w:rsidR="00287E32">
        <w:t>eight</w:t>
      </w:r>
      <w:r w:rsidR="00364976">
        <w:t xml:space="preserve"> funded and </w:t>
      </w:r>
      <w:r w:rsidR="00287E32">
        <w:t>four</w:t>
      </w:r>
      <w:r w:rsidR="00364976">
        <w:t xml:space="preserve"> unfunded streets projects.</w:t>
      </w:r>
    </w:p>
    <w:p w:rsidR="00364976" w:rsidRDefault="00364976" w:rsidP="00364976">
      <w:pPr>
        <w:pStyle w:val="Caption"/>
        <w:keepNext/>
      </w:pPr>
    </w:p>
    <w:p w:rsidR="00364976" w:rsidRDefault="00364976" w:rsidP="00364976">
      <w:pPr>
        <w:pStyle w:val="Caption"/>
        <w:keepNext/>
      </w:pPr>
      <w:r>
        <w:t xml:space="preserve">Table </w:t>
      </w:r>
      <w:fldSimple w:instr=" SEQ Table \* ARABIC ">
        <w:r w:rsidR="005E067E">
          <w:rPr>
            <w:noProof/>
          </w:rPr>
          <w:t>4</w:t>
        </w:r>
      </w:fldSimple>
      <w:r>
        <w:t xml:space="preserve"> Streets CIP Projects</w:t>
      </w:r>
    </w:p>
    <w:tbl>
      <w:tblPr>
        <w:tblStyle w:val="TableGrid"/>
        <w:tblW w:w="0" w:type="auto"/>
        <w:tblLayout w:type="fixed"/>
        <w:tblLook w:val="04A0" w:firstRow="1" w:lastRow="0" w:firstColumn="1" w:lastColumn="0" w:noHBand="0" w:noVBand="1"/>
      </w:tblPr>
      <w:tblGrid>
        <w:gridCol w:w="1638"/>
        <w:gridCol w:w="888"/>
        <w:gridCol w:w="948"/>
        <w:gridCol w:w="1224"/>
        <w:gridCol w:w="720"/>
        <w:gridCol w:w="720"/>
        <w:gridCol w:w="720"/>
        <w:gridCol w:w="720"/>
        <w:gridCol w:w="720"/>
        <w:gridCol w:w="720"/>
      </w:tblGrid>
      <w:tr w:rsidR="00364976" w:rsidTr="001A615A">
        <w:trPr>
          <w:trHeight w:val="1016"/>
          <w:tblHeader/>
        </w:trPr>
        <w:tc>
          <w:tcPr>
            <w:tcW w:w="163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rPr>
                <w:b/>
                <w:sz w:val="18"/>
              </w:rPr>
            </w:pPr>
            <w:r w:rsidRPr="001A7023">
              <w:rPr>
                <w:b/>
                <w:sz w:val="18"/>
              </w:rPr>
              <w:t>Project Name</w:t>
            </w:r>
          </w:p>
        </w:tc>
        <w:tc>
          <w:tcPr>
            <w:tcW w:w="88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Source</w:t>
            </w:r>
          </w:p>
        </w:tc>
        <w:tc>
          <w:tcPr>
            <w:tcW w:w="94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Funded</w:t>
            </w:r>
          </w:p>
        </w:tc>
        <w:tc>
          <w:tcPr>
            <w:tcW w:w="1224"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Total (thousands of dollars)</w:t>
            </w:r>
          </w:p>
        </w:tc>
        <w:tc>
          <w:tcPr>
            <w:tcW w:w="72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FY 2014</w:t>
            </w:r>
          </w:p>
        </w:tc>
        <w:tc>
          <w:tcPr>
            <w:tcW w:w="72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FY 2015</w:t>
            </w:r>
          </w:p>
        </w:tc>
        <w:tc>
          <w:tcPr>
            <w:tcW w:w="72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FY 2016</w:t>
            </w:r>
          </w:p>
        </w:tc>
        <w:tc>
          <w:tcPr>
            <w:tcW w:w="72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FY 2017</w:t>
            </w:r>
          </w:p>
        </w:tc>
        <w:tc>
          <w:tcPr>
            <w:tcW w:w="72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FY 2018</w:t>
            </w:r>
          </w:p>
        </w:tc>
        <w:tc>
          <w:tcPr>
            <w:tcW w:w="72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b/>
                <w:sz w:val="18"/>
              </w:rPr>
            </w:pPr>
            <w:r w:rsidRPr="001A7023">
              <w:rPr>
                <w:b/>
                <w:sz w:val="18"/>
              </w:rPr>
              <w:t>FY 2019</w:t>
            </w:r>
          </w:p>
        </w:tc>
      </w:tr>
      <w:tr w:rsidR="00364976" w:rsidTr="00803FD0">
        <w:tc>
          <w:tcPr>
            <w:tcW w:w="1638"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Median Island Restoration</w:t>
            </w:r>
          </w:p>
        </w:tc>
        <w:tc>
          <w:tcPr>
            <w:tcW w:w="888"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Fees</w:t>
            </w:r>
          </w:p>
        </w:tc>
        <w:tc>
          <w:tcPr>
            <w:tcW w:w="948"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Y</w:t>
            </w:r>
          </w:p>
        </w:tc>
        <w:tc>
          <w:tcPr>
            <w:tcW w:w="1224"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50</w:t>
            </w: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50</w:t>
            </w: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Sidewalk Projects</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Fees</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Y</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273</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73</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50</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Street Crack Seal Program</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Fees</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Y</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282</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47</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47</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47</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47</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47</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47</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Street Pavement Maintenance Program</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Fees</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Y</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3,770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550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720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625</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625</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625</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625</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Street Pavement Marking</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Fees</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Y</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158</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23</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23</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28</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$28</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28</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28</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Street Slurry Seal Program</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Fees</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Y</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1,369</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119</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250</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Transportation System Action Plan Projects</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Fees</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N</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3,025</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723</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$45</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767</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790</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10</w:t>
            </w:r>
            <w:r w:rsidRPr="001A7023">
              <w:rPr>
                <w:rFonts w:asciiTheme="minorHAnsi" w:hAnsiTheme="minorHAnsi" w:cstheme="minorHAnsi"/>
                <w:sz w:val="18"/>
                <w:vertAlign w:val="superscript"/>
              </w:rPr>
              <w:t>th</w:t>
            </w:r>
            <w:r w:rsidRPr="001A7023">
              <w:rPr>
                <w:rFonts w:asciiTheme="minorHAnsi" w:hAnsiTheme="minorHAnsi" w:cstheme="minorHAnsi"/>
                <w:sz w:val="18"/>
              </w:rPr>
              <w:t xml:space="preserve"> St./I-205 Corridor Improvements</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Grant</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N</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4,445</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4,445</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10</w:t>
            </w:r>
            <w:r w:rsidRPr="001A7023">
              <w:rPr>
                <w:rFonts w:asciiTheme="minorHAnsi" w:hAnsiTheme="minorHAnsi" w:cstheme="minorHAnsi"/>
                <w:sz w:val="18"/>
                <w:vertAlign w:val="superscript"/>
              </w:rPr>
              <w:t>th</w:t>
            </w:r>
            <w:r w:rsidRPr="001A7023">
              <w:rPr>
                <w:rFonts w:asciiTheme="minorHAnsi" w:hAnsiTheme="minorHAnsi" w:cstheme="minorHAnsi"/>
                <w:sz w:val="18"/>
              </w:rPr>
              <w:t xml:space="preserve"> St./I-205 Corridor </w:t>
            </w:r>
            <w:r w:rsidRPr="001A7023">
              <w:rPr>
                <w:rFonts w:asciiTheme="minorHAnsi" w:hAnsiTheme="minorHAnsi" w:cstheme="minorHAnsi"/>
                <w:sz w:val="18"/>
              </w:rPr>
              <w:lastRenderedPageBreak/>
              <w:t>Improvements</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lastRenderedPageBreak/>
              <w:t>SDC</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N</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785</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785</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lastRenderedPageBreak/>
              <w:t>Transportation System Action Plan Projects</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SDC</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N</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3,637</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861</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892</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925</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959</w:t>
            </w:r>
          </w:p>
        </w:tc>
      </w:tr>
      <w:tr w:rsidR="00364976" w:rsidTr="00803FD0">
        <w:tc>
          <w:tcPr>
            <w:tcW w:w="163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Transportation System Action Plan Projects</w:t>
            </w:r>
          </w:p>
        </w:tc>
        <w:tc>
          <w:tcPr>
            <w:tcW w:w="88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SDC</w:t>
            </w:r>
          </w:p>
        </w:tc>
        <w:tc>
          <w:tcPr>
            <w:tcW w:w="948"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Y</w:t>
            </w:r>
          </w:p>
        </w:tc>
        <w:tc>
          <w:tcPr>
            <w:tcW w:w="1224"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1,300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450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50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200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200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200</w:t>
            </w:r>
          </w:p>
        </w:tc>
        <w:tc>
          <w:tcPr>
            <w:tcW w:w="720" w:type="dxa"/>
            <w:tcBorders>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200</w:t>
            </w:r>
          </w:p>
        </w:tc>
      </w:tr>
      <w:tr w:rsidR="00364976" w:rsidTr="00803FD0">
        <w:tc>
          <w:tcPr>
            <w:tcW w:w="1638"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sz w:val="18"/>
              </w:rPr>
            </w:pPr>
            <w:r w:rsidRPr="001A7023">
              <w:rPr>
                <w:rFonts w:asciiTheme="minorHAnsi" w:hAnsiTheme="minorHAnsi" w:cstheme="minorHAnsi"/>
                <w:sz w:val="18"/>
              </w:rPr>
              <w:t>Transportation System Plan</w:t>
            </w:r>
          </w:p>
        </w:tc>
        <w:tc>
          <w:tcPr>
            <w:tcW w:w="888"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SDC</w:t>
            </w:r>
          </w:p>
        </w:tc>
        <w:tc>
          <w:tcPr>
            <w:tcW w:w="948"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Y</w:t>
            </w:r>
          </w:p>
        </w:tc>
        <w:tc>
          <w:tcPr>
            <w:tcW w:w="1224"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200</w:t>
            </w:r>
          </w:p>
        </w:tc>
        <w:tc>
          <w:tcPr>
            <w:tcW w:w="720"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r w:rsidRPr="001A7023">
              <w:rPr>
                <w:rFonts w:asciiTheme="minorHAnsi" w:hAnsiTheme="minorHAnsi" w:cstheme="minorHAnsi"/>
                <w:sz w:val="18"/>
              </w:rPr>
              <w:t>200</w:t>
            </w:r>
          </w:p>
        </w:tc>
        <w:tc>
          <w:tcPr>
            <w:tcW w:w="720"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c>
          <w:tcPr>
            <w:tcW w:w="720" w:type="dxa"/>
            <w:tcBorders>
              <w:left w:val="single" w:sz="4" w:space="0" w:color="FFFFFF" w:themeColor="background1"/>
              <w:bottom w:val="single" w:sz="12" w:space="0" w:color="auto"/>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sz w:val="18"/>
              </w:rPr>
            </w:pPr>
          </w:p>
        </w:tc>
      </w:tr>
      <w:tr w:rsidR="00364976" w:rsidTr="00803FD0">
        <w:trPr>
          <w:trHeight w:val="573"/>
        </w:trPr>
        <w:tc>
          <w:tcPr>
            <w:tcW w:w="1638"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rPr>
                <w:rFonts w:asciiTheme="minorHAnsi" w:hAnsiTheme="minorHAnsi" w:cstheme="minorHAnsi"/>
                <w:b/>
                <w:sz w:val="18"/>
              </w:rPr>
            </w:pPr>
            <w:r w:rsidRPr="001A7023">
              <w:rPr>
                <w:rFonts w:asciiTheme="minorHAnsi" w:hAnsiTheme="minorHAnsi" w:cstheme="minorHAnsi"/>
                <w:b/>
                <w:sz w:val="18"/>
              </w:rPr>
              <w:t>Subtotal</w:t>
            </w:r>
          </w:p>
        </w:tc>
        <w:tc>
          <w:tcPr>
            <w:tcW w:w="888"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p>
        </w:tc>
        <w:tc>
          <w:tcPr>
            <w:tcW w:w="948"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p>
        </w:tc>
        <w:tc>
          <w:tcPr>
            <w:tcW w:w="1224"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r w:rsidRPr="001A7023">
              <w:rPr>
                <w:rFonts w:asciiTheme="minorHAnsi" w:hAnsiTheme="minorHAnsi" w:cstheme="minorHAnsi"/>
                <w:b/>
                <w:sz w:val="18"/>
              </w:rPr>
              <w:t>19,294</w:t>
            </w: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r w:rsidRPr="001A7023">
              <w:rPr>
                <w:rFonts w:asciiTheme="minorHAnsi" w:hAnsiTheme="minorHAnsi" w:cstheme="minorHAnsi"/>
                <w:b/>
                <w:sz w:val="18"/>
              </w:rPr>
              <w:t>1,643</w:t>
            </w: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r w:rsidRPr="001A7023">
              <w:rPr>
                <w:rFonts w:asciiTheme="minorHAnsi" w:hAnsiTheme="minorHAnsi" w:cstheme="minorHAnsi"/>
                <w:b/>
                <w:sz w:val="18"/>
              </w:rPr>
              <w:t>1,090</w:t>
            </w: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r w:rsidRPr="001A7023">
              <w:rPr>
                <w:rFonts w:asciiTheme="minorHAnsi" w:hAnsiTheme="minorHAnsi" w:cstheme="minorHAnsi"/>
                <w:b/>
                <w:sz w:val="18"/>
              </w:rPr>
              <w:t>2,784</w:t>
            </w: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r w:rsidRPr="001A7023">
              <w:rPr>
                <w:rFonts w:asciiTheme="minorHAnsi" w:hAnsiTheme="minorHAnsi" w:cstheme="minorHAnsi"/>
                <w:b/>
                <w:sz w:val="18"/>
              </w:rPr>
              <w:t>2,706</w:t>
            </w: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r w:rsidRPr="001A7023">
              <w:rPr>
                <w:rFonts w:asciiTheme="minorHAnsi" w:hAnsiTheme="minorHAnsi" w:cstheme="minorHAnsi"/>
                <w:b/>
                <w:sz w:val="18"/>
              </w:rPr>
              <w:t>2,892</w:t>
            </w:r>
          </w:p>
        </w:tc>
        <w:tc>
          <w:tcPr>
            <w:tcW w:w="720" w:type="dxa"/>
            <w:tcBorders>
              <w:top w:val="single" w:sz="12" w:space="0" w:color="auto"/>
              <w:left w:val="single" w:sz="4" w:space="0" w:color="FFFFFF" w:themeColor="background1"/>
              <w:right w:val="single" w:sz="4" w:space="0" w:color="FFFFFF" w:themeColor="background1"/>
            </w:tcBorders>
            <w:vAlign w:val="center"/>
          </w:tcPr>
          <w:p w:rsidR="00364976" w:rsidRPr="001A7023" w:rsidRDefault="00364976" w:rsidP="00F355F2">
            <w:pPr>
              <w:spacing w:after="120" w:line="276" w:lineRule="auto"/>
              <w:jc w:val="center"/>
              <w:rPr>
                <w:rFonts w:asciiTheme="minorHAnsi" w:hAnsiTheme="minorHAnsi" w:cstheme="minorHAnsi"/>
                <w:b/>
                <w:sz w:val="18"/>
              </w:rPr>
            </w:pPr>
            <w:r w:rsidRPr="001A7023">
              <w:rPr>
                <w:rFonts w:asciiTheme="minorHAnsi" w:hAnsiTheme="minorHAnsi" w:cstheme="minorHAnsi"/>
                <w:b/>
                <w:sz w:val="18"/>
              </w:rPr>
              <w:t>8,179</w:t>
            </w:r>
          </w:p>
        </w:tc>
      </w:tr>
    </w:tbl>
    <w:p w:rsidR="00364976" w:rsidRDefault="00364976" w:rsidP="00364976">
      <w:pPr>
        <w:spacing w:after="120" w:line="276" w:lineRule="auto"/>
      </w:pPr>
    </w:p>
    <w:p w:rsidR="00364976" w:rsidRDefault="00364976" w:rsidP="001D0094">
      <w:pPr>
        <w:spacing w:after="120"/>
        <w:rPr>
          <w:rFonts w:asciiTheme="minorHAnsi" w:hAnsiTheme="minorHAnsi" w:cstheme="minorHAnsi"/>
          <w:i/>
          <w:sz w:val="24"/>
        </w:rPr>
      </w:pPr>
    </w:p>
    <w:p w:rsidR="007B4195" w:rsidRDefault="007B4195" w:rsidP="007B4195">
      <w:pPr>
        <w:spacing w:after="120"/>
        <w:rPr>
          <w:rFonts w:asciiTheme="minorHAnsi" w:hAnsiTheme="minorHAnsi" w:cstheme="minorHAnsi"/>
          <w:i/>
          <w:sz w:val="24"/>
        </w:rPr>
      </w:pPr>
      <w:r>
        <w:rPr>
          <w:rFonts w:asciiTheme="minorHAnsi" w:hAnsiTheme="minorHAnsi" w:cstheme="minorHAnsi"/>
          <w:i/>
          <w:sz w:val="24"/>
        </w:rPr>
        <w:t>Fiscal Management Policies</w:t>
      </w:r>
    </w:p>
    <w:p w:rsidR="007B4195" w:rsidRPr="007B4195" w:rsidRDefault="007B4195" w:rsidP="007B4195">
      <w:pPr>
        <w:spacing w:after="120" w:line="276" w:lineRule="auto"/>
        <w:rPr>
          <w:b/>
        </w:rPr>
      </w:pPr>
      <w:r w:rsidRPr="007B4195">
        <w:rPr>
          <w:b/>
        </w:rPr>
        <w:t>Revenue policy</w:t>
      </w:r>
    </w:p>
    <w:p w:rsidR="007B4195" w:rsidRDefault="007B4195" w:rsidP="001A615A">
      <w:pPr>
        <w:pStyle w:val="ListParagraph"/>
        <w:numPr>
          <w:ilvl w:val="1"/>
          <w:numId w:val="33"/>
        </w:numPr>
        <w:spacing w:after="120" w:line="276" w:lineRule="auto"/>
        <w:ind w:left="720"/>
        <w:contextualSpacing w:val="0"/>
      </w:pPr>
      <w:r>
        <w:t>SDCs shall be established to fund the costs of improvement to service additional increments to growth, such as street, water, sewer, surface water, and park and recreation facilities.</w:t>
      </w:r>
    </w:p>
    <w:p w:rsidR="007B4195" w:rsidRDefault="007B4195" w:rsidP="001A615A">
      <w:pPr>
        <w:pStyle w:val="ListParagraph"/>
        <w:numPr>
          <w:ilvl w:val="1"/>
          <w:numId w:val="33"/>
        </w:numPr>
        <w:spacing w:after="120" w:line="276" w:lineRule="auto"/>
        <w:ind w:left="720"/>
        <w:contextualSpacing w:val="0"/>
      </w:pPr>
      <w:r>
        <w:t xml:space="preserve">The City will maximize user charges in lieu of ad valorem taxes and </w:t>
      </w:r>
      <w:r w:rsidR="00177136">
        <w:t>subsidies</w:t>
      </w:r>
      <w:r>
        <w:t xml:space="preserve"> from other City funds, for services that can be identified and where costs are directly related to the level of service provided.</w:t>
      </w:r>
    </w:p>
    <w:p w:rsidR="007B4195" w:rsidRDefault="007B4195" w:rsidP="001A615A">
      <w:pPr>
        <w:pStyle w:val="ListParagraph"/>
        <w:numPr>
          <w:ilvl w:val="1"/>
          <w:numId w:val="33"/>
        </w:numPr>
        <w:spacing w:after="120" w:line="276" w:lineRule="auto"/>
        <w:ind w:left="720"/>
        <w:contextualSpacing w:val="0"/>
      </w:pPr>
      <w:r>
        <w:t>Charges for providing utility services shall be sufficient to finance all operating, capital outlay and debt service expenses of the City’s enterprise funds, including operating contingency and reserve requirements.</w:t>
      </w:r>
    </w:p>
    <w:p w:rsidR="007B4195" w:rsidRDefault="007B4195" w:rsidP="001A615A">
      <w:pPr>
        <w:pStyle w:val="ListParagraph"/>
        <w:numPr>
          <w:ilvl w:val="1"/>
          <w:numId w:val="33"/>
        </w:numPr>
        <w:spacing w:after="120" w:line="276" w:lineRule="auto"/>
        <w:ind w:left="720"/>
        <w:contextualSpacing w:val="0"/>
      </w:pPr>
      <w:r>
        <w:t xml:space="preserve">User charges shall fund 100 percent of the direct cost of development review and building activities.  User </w:t>
      </w:r>
      <w:r w:rsidR="00177136">
        <w:t>charges</w:t>
      </w:r>
      <w:r>
        <w:t xml:space="preserve"> include land use, engineering inspection, building permit and building inspection fees.</w:t>
      </w:r>
    </w:p>
    <w:p w:rsidR="007B4195" w:rsidRDefault="007B4195" w:rsidP="001A615A">
      <w:pPr>
        <w:pStyle w:val="ListParagraph"/>
        <w:numPr>
          <w:ilvl w:val="1"/>
          <w:numId w:val="33"/>
        </w:numPr>
        <w:spacing w:after="120" w:line="276" w:lineRule="auto"/>
        <w:ind w:left="720"/>
        <w:contextualSpacing w:val="0"/>
      </w:pPr>
      <w:r>
        <w:t xml:space="preserve">Park recreation programs shall be </w:t>
      </w:r>
      <w:r w:rsidR="00177136">
        <w:t>funded</w:t>
      </w:r>
      <w:r>
        <w:t xml:space="preserve"> by user charges.  Annual revenues raised by participant fees shall cover at least 100 percent of the program’s cost with no assessment made for administration.  No one shall be denied access to park recreation programs due to their lack of ability to pay for the full participant fee.</w:t>
      </w:r>
    </w:p>
    <w:p w:rsidR="007B4195" w:rsidRDefault="007B4195" w:rsidP="001A615A">
      <w:pPr>
        <w:pStyle w:val="ListParagraph"/>
        <w:numPr>
          <w:ilvl w:val="1"/>
          <w:numId w:val="33"/>
        </w:numPr>
        <w:spacing w:after="120" w:line="276" w:lineRule="auto"/>
        <w:ind w:left="720"/>
        <w:contextualSpacing w:val="0"/>
      </w:pPr>
      <w:r>
        <w:t>Other reimbursable work performed by the City (labor, contracted services, equipment and other indirect expenses) shall be billed at actual or estimated actual cost, including indirect overhead.</w:t>
      </w:r>
    </w:p>
    <w:p w:rsidR="007B4195" w:rsidRDefault="007B4195" w:rsidP="001A615A">
      <w:pPr>
        <w:pStyle w:val="ListParagraph"/>
        <w:numPr>
          <w:ilvl w:val="1"/>
          <w:numId w:val="33"/>
        </w:numPr>
        <w:spacing w:after="120" w:line="276" w:lineRule="auto"/>
        <w:ind w:left="720"/>
        <w:contextualSpacing w:val="0"/>
      </w:pPr>
      <w:r>
        <w:t xml:space="preserve">Charges for services shall accurately reflect the actual or estimated cost of providing a specific service.  The cost of providing specific services shall be recalculated periodically, </w:t>
      </w:r>
      <w:r>
        <w:lastRenderedPageBreak/>
        <w:t xml:space="preserve">and the fee </w:t>
      </w:r>
      <w:r w:rsidR="00177136">
        <w:t>adjusted</w:t>
      </w:r>
      <w:r>
        <w:t xml:space="preserve"> accordingly.  The City shall maintain a current schedule of fees, showing when the fees were last reviewed and/or recalculated.</w:t>
      </w:r>
    </w:p>
    <w:p w:rsidR="007B4195" w:rsidRDefault="007B4195" w:rsidP="007B4195">
      <w:pPr>
        <w:spacing w:after="120" w:line="276" w:lineRule="auto"/>
        <w:rPr>
          <w:b/>
        </w:rPr>
      </w:pPr>
      <w:r>
        <w:rPr>
          <w:b/>
        </w:rPr>
        <w:t>Operating Budget Policy</w:t>
      </w:r>
    </w:p>
    <w:p w:rsidR="007B4195" w:rsidRDefault="007B4195" w:rsidP="001A615A">
      <w:pPr>
        <w:pStyle w:val="ListParagraph"/>
        <w:numPr>
          <w:ilvl w:val="1"/>
          <w:numId w:val="33"/>
        </w:numPr>
        <w:spacing w:after="120" w:line="276" w:lineRule="auto"/>
        <w:ind w:left="720"/>
        <w:contextualSpacing w:val="0"/>
      </w:pPr>
      <w:r>
        <w:t>The City shall prepare, adopt and amend its operating budget in accordance with Oregon Local Budget Law.</w:t>
      </w:r>
    </w:p>
    <w:p w:rsidR="007B4195" w:rsidRDefault="007B4195" w:rsidP="001A615A">
      <w:pPr>
        <w:pStyle w:val="ListParagraph"/>
        <w:numPr>
          <w:ilvl w:val="1"/>
          <w:numId w:val="33"/>
        </w:numPr>
        <w:spacing w:after="120" w:line="276" w:lineRule="auto"/>
        <w:ind w:left="720"/>
        <w:contextualSpacing w:val="0"/>
      </w:pPr>
      <w:r>
        <w:t>The City shall maintain a budget system to monitor expenditures and revenues on an ongoing basis, with thorough analysis and adjustment periodically if required.</w:t>
      </w:r>
    </w:p>
    <w:p w:rsidR="007B4195" w:rsidRDefault="007B4195" w:rsidP="001A615A">
      <w:pPr>
        <w:pStyle w:val="ListParagraph"/>
        <w:numPr>
          <w:ilvl w:val="1"/>
          <w:numId w:val="33"/>
        </w:numPr>
        <w:spacing w:after="120" w:line="276" w:lineRule="auto"/>
        <w:ind w:left="720"/>
        <w:contextualSpacing w:val="0"/>
      </w:pPr>
      <w:r>
        <w:t>The City shall not adopt an operating budget that is greater than the amount of resources available to fund it.  Current operating resources will be sufficient to support current operating expenditures, transfers, reserves, and contingencies.</w:t>
      </w:r>
    </w:p>
    <w:p w:rsidR="007B4195" w:rsidRDefault="007B4195" w:rsidP="001A615A">
      <w:pPr>
        <w:pStyle w:val="ListParagraph"/>
        <w:numPr>
          <w:ilvl w:val="1"/>
          <w:numId w:val="33"/>
        </w:numPr>
        <w:spacing w:after="120" w:line="276" w:lineRule="auto"/>
        <w:ind w:left="720"/>
        <w:contextualSpacing w:val="0"/>
      </w:pPr>
      <w:r>
        <w:t>Annual recurring revenues (including interfund transfers) shall not be less than annual recurring operating expenditures (total annual budget, minus capital outlay, transfers, reserves, and contingencies).</w:t>
      </w:r>
    </w:p>
    <w:p w:rsidR="007B4195" w:rsidRDefault="007B4195" w:rsidP="001A615A">
      <w:pPr>
        <w:pStyle w:val="ListParagraph"/>
        <w:numPr>
          <w:ilvl w:val="1"/>
          <w:numId w:val="33"/>
        </w:numPr>
        <w:spacing w:after="120" w:line="276" w:lineRule="auto"/>
        <w:ind w:left="720"/>
        <w:contextualSpacing w:val="0"/>
      </w:pPr>
      <w:r>
        <w:t>Unless otherwise authorized by City Council, general unrestricted revenues shall not be earmarked for specific programs, activities or services.</w:t>
      </w:r>
    </w:p>
    <w:p w:rsidR="007B4195" w:rsidRDefault="007B4195" w:rsidP="001A615A">
      <w:pPr>
        <w:pStyle w:val="ListParagraph"/>
        <w:numPr>
          <w:ilvl w:val="1"/>
          <w:numId w:val="33"/>
        </w:numPr>
        <w:spacing w:after="120" w:line="276" w:lineRule="auto"/>
        <w:ind w:left="720"/>
        <w:contextualSpacing w:val="0"/>
      </w:pPr>
      <w:r>
        <w:t>Long-term debt or bond financing shall only be used for capital purposes and shall not be used to finance current operations.</w:t>
      </w:r>
    </w:p>
    <w:p w:rsidR="007B4195" w:rsidRPr="007B4195" w:rsidRDefault="007B4195" w:rsidP="007B4195">
      <w:pPr>
        <w:spacing w:after="120" w:line="276" w:lineRule="auto"/>
        <w:rPr>
          <w:b/>
        </w:rPr>
      </w:pPr>
      <w:r>
        <w:rPr>
          <w:b/>
        </w:rPr>
        <w:t>Capital Asset Management Policy</w:t>
      </w:r>
    </w:p>
    <w:p w:rsidR="007B4195" w:rsidRDefault="007B4195" w:rsidP="001A615A">
      <w:pPr>
        <w:pStyle w:val="ListParagraph"/>
        <w:numPr>
          <w:ilvl w:val="1"/>
          <w:numId w:val="33"/>
        </w:numPr>
        <w:spacing w:after="120" w:line="276" w:lineRule="auto"/>
        <w:ind w:left="720"/>
        <w:contextualSpacing w:val="0"/>
      </w:pPr>
      <w:r>
        <w:t>The City shall adopt a Capital Improvement Plan (CIP) and update it periodically.  Prior to adopting a CIP, the City shall hold public meetings and a public hearing on the contents of the CIP.  The document shall provide details on each capital project plan, its estimated costs, sources of financing and a full description, including a detailed statement identifying: (as) the needs, conditions and circumstances that have caused the project’s creation and (b) the expected results if the project is approved and implemented.</w:t>
      </w:r>
    </w:p>
    <w:p w:rsidR="007B4195" w:rsidRDefault="007B4195" w:rsidP="001A615A">
      <w:pPr>
        <w:pStyle w:val="ListParagraph"/>
        <w:numPr>
          <w:ilvl w:val="1"/>
          <w:numId w:val="33"/>
        </w:numPr>
        <w:spacing w:after="120" w:line="276" w:lineRule="auto"/>
        <w:ind w:left="720"/>
        <w:contextualSpacing w:val="0"/>
      </w:pPr>
      <w:r>
        <w:t>Operating expenditures shall be programmed into each capital project plan, including the cost of implementing the plan and all continuing labor, operating and capital outlay costs.</w:t>
      </w:r>
    </w:p>
    <w:p w:rsidR="007B4195" w:rsidRPr="007B4195" w:rsidRDefault="007B4195" w:rsidP="007B4195">
      <w:pPr>
        <w:spacing w:after="120" w:line="276" w:lineRule="auto"/>
        <w:rPr>
          <w:b/>
        </w:rPr>
      </w:pPr>
      <w:r>
        <w:rPr>
          <w:b/>
        </w:rPr>
        <w:t>Debt Policy</w:t>
      </w:r>
    </w:p>
    <w:p w:rsidR="007B4195" w:rsidRDefault="007B4195" w:rsidP="001A615A">
      <w:pPr>
        <w:pStyle w:val="ListParagraph"/>
        <w:numPr>
          <w:ilvl w:val="1"/>
          <w:numId w:val="33"/>
        </w:numPr>
        <w:spacing w:after="120" w:line="276" w:lineRule="auto"/>
        <w:ind w:left="720"/>
        <w:contextualSpacing w:val="0"/>
      </w:pPr>
      <w:r>
        <w:t>Capital project financed through the issuance of debt shall not be financed for a period which (a) exceeds the expected useful life of the project and (b) is less than 30 percent of the expected useful life of the improvements.</w:t>
      </w:r>
    </w:p>
    <w:p w:rsidR="007B4195" w:rsidRDefault="007B4195" w:rsidP="001A615A">
      <w:pPr>
        <w:pStyle w:val="ListParagraph"/>
        <w:numPr>
          <w:ilvl w:val="1"/>
          <w:numId w:val="33"/>
        </w:numPr>
        <w:spacing w:after="120" w:line="276" w:lineRule="auto"/>
        <w:ind w:left="720"/>
        <w:contextualSpacing w:val="0"/>
      </w:pPr>
      <w:r>
        <w:t>The City shall use the most prudent methods of acquiring capital outlay items, including the use of lease-purchase agreements.</w:t>
      </w:r>
    </w:p>
    <w:p w:rsidR="001A615A" w:rsidRDefault="007B4195" w:rsidP="007B4195">
      <w:pPr>
        <w:pStyle w:val="ListParagraph"/>
        <w:numPr>
          <w:ilvl w:val="1"/>
          <w:numId w:val="33"/>
        </w:numPr>
        <w:spacing w:after="120" w:line="276" w:lineRule="auto"/>
        <w:ind w:left="720"/>
        <w:contextualSpacing w:val="0"/>
      </w:pPr>
      <w:r>
        <w:t>The City shall maintain its bond rating at the highest level fiscally prudent, so that future borrowing costs are minimized and access to the credit market is preserved.</w:t>
      </w:r>
    </w:p>
    <w:p w:rsidR="001A615A" w:rsidRDefault="001A615A" w:rsidP="001A615A">
      <w:pPr>
        <w:pStyle w:val="ListParagraph"/>
        <w:spacing w:after="120" w:line="276" w:lineRule="auto"/>
        <w:contextualSpacing w:val="0"/>
      </w:pPr>
    </w:p>
    <w:p w:rsidR="001A615A" w:rsidRDefault="001A615A" w:rsidP="001A615A">
      <w:pPr>
        <w:pStyle w:val="ListParagraph"/>
        <w:spacing w:after="120" w:line="276" w:lineRule="auto"/>
        <w:contextualSpacing w:val="0"/>
      </w:pPr>
    </w:p>
    <w:p w:rsidR="001A615A" w:rsidRPr="001A615A" w:rsidRDefault="001A615A" w:rsidP="001A615A">
      <w:pPr>
        <w:pStyle w:val="ListParagraph"/>
        <w:spacing w:after="120" w:line="276" w:lineRule="auto"/>
        <w:contextualSpacing w:val="0"/>
      </w:pPr>
    </w:p>
    <w:p w:rsidR="007B4195" w:rsidRPr="007B4195" w:rsidRDefault="007B4195" w:rsidP="007B4195">
      <w:pPr>
        <w:spacing w:after="120" w:line="276" w:lineRule="auto"/>
        <w:rPr>
          <w:b/>
        </w:rPr>
      </w:pPr>
      <w:r>
        <w:rPr>
          <w:b/>
        </w:rPr>
        <w:lastRenderedPageBreak/>
        <w:t>Reserve Policy</w:t>
      </w:r>
      <w:bookmarkStart w:id="0" w:name="_GoBack"/>
      <w:bookmarkEnd w:id="0"/>
    </w:p>
    <w:p w:rsidR="007B4195" w:rsidRDefault="007B4195" w:rsidP="001A615A">
      <w:pPr>
        <w:pStyle w:val="ListParagraph"/>
        <w:numPr>
          <w:ilvl w:val="1"/>
          <w:numId w:val="33"/>
        </w:numPr>
        <w:spacing w:after="120" w:line="276" w:lineRule="auto"/>
        <w:ind w:left="720"/>
        <w:contextualSpacing w:val="0"/>
      </w:pPr>
      <w:r>
        <w:t xml:space="preserve">The City shall establish a contingency reserve to provide for unanticipated expenditures of a nonrecurring nature to meet unexpected increases in service delivery costs.  In accordance with local budget law </w:t>
      </w:r>
      <w:proofErr w:type="spellStart"/>
      <w:r>
        <w:t>n</w:t>
      </w:r>
      <w:proofErr w:type="spellEnd"/>
      <w:r>
        <w:t xml:space="preserve"> the State of Oregon, the contingency reserve must be an appropriated budget item, though funds may not be directly disbursed from the contingency reserve.  Amounts must be reclassified into a spendable budget category through a supplemental budget process.  Also, budget law does not allow for a contingency reserve to be budgeted in a debt service fund.  The contingency reserve policy must be at least equal to 10 percent of the Fund’s annual operational expenditures (which includes Personal Services and Materials and Services line items and excludes Debt Service, Transfers, and Capital Outlay line items) with 15 percent for Public Safety, Library, and Parks and Recreation Funds.</w:t>
      </w:r>
    </w:p>
    <w:p w:rsidR="007B4195" w:rsidRDefault="007B4195" w:rsidP="001A615A">
      <w:pPr>
        <w:pStyle w:val="ListParagraph"/>
        <w:numPr>
          <w:ilvl w:val="1"/>
          <w:numId w:val="33"/>
        </w:numPr>
        <w:spacing w:after="120" w:line="276" w:lineRule="auto"/>
        <w:ind w:left="720"/>
        <w:contextualSpacing w:val="0"/>
      </w:pPr>
      <w:r>
        <w:t>The City shall maintain an unappropriated ending fund balance reserve to provide working capital for the post-budget period until sufficient revenues arrive to fund post-budget period operations.  In accordance with local budget law in the State of Oregon, the unappropriated ending fund balance reserve is not appropriated and cannot be spent in the current year unless a state of emergency is declared by the City Manager.  The unappropriated ending fund balance reserve policy must be at least equal to five percent of the Fund’s annual operations expenditures (which includes Personal Services and Materials and Services lines items and excludes Debt Service, Transfers, and Capital Outlay items).</w:t>
      </w:r>
    </w:p>
    <w:p w:rsidR="007B4195" w:rsidRDefault="007B4195" w:rsidP="001D0094">
      <w:pPr>
        <w:spacing w:after="120"/>
        <w:rPr>
          <w:rFonts w:asciiTheme="minorHAnsi" w:hAnsiTheme="minorHAnsi" w:cstheme="minorHAnsi"/>
          <w:i/>
          <w:sz w:val="24"/>
        </w:rPr>
        <w:sectPr w:rsidR="007B4195" w:rsidSect="0033451B">
          <w:pgSz w:w="12240" w:h="15840" w:code="1"/>
          <w:pgMar w:top="1440" w:right="1440" w:bottom="1166" w:left="1440" w:header="720" w:footer="720" w:gutter="0"/>
          <w:cols w:space="720"/>
          <w:titlePg/>
          <w:docGrid w:linePitch="360"/>
        </w:sectPr>
      </w:pPr>
    </w:p>
    <w:p w:rsidR="00B705D4" w:rsidRDefault="00B705D4" w:rsidP="00B705D4">
      <w:pPr>
        <w:pStyle w:val="Caption"/>
        <w:keepNext/>
      </w:pPr>
      <w:r>
        <w:lastRenderedPageBreak/>
        <w:t xml:space="preserve">Table </w:t>
      </w:r>
      <w:fldSimple w:instr=" SEQ Table \* ARABIC ">
        <w:r w:rsidR="005E067E">
          <w:rPr>
            <w:noProof/>
          </w:rPr>
          <w:t>5</w:t>
        </w:r>
      </w:fldSimple>
      <w:r>
        <w:t xml:space="preserve"> Revenue and Expense Projections to FY</w:t>
      </w:r>
      <w:r w:rsidR="009412A6">
        <w:t>40</w:t>
      </w:r>
    </w:p>
    <w:p w:rsidR="006738B4" w:rsidRDefault="009412A6" w:rsidP="001D0094">
      <w:pPr>
        <w:spacing w:after="120"/>
        <w:rPr>
          <w:rFonts w:asciiTheme="minorHAnsi" w:hAnsiTheme="minorHAnsi" w:cstheme="minorHAnsi"/>
          <w:i/>
          <w:sz w:val="24"/>
        </w:rPr>
        <w:sectPr w:rsidR="006738B4" w:rsidSect="006738B4">
          <w:pgSz w:w="24480" w:h="15840" w:orient="landscape" w:code="3"/>
          <w:pgMar w:top="1440" w:right="1440" w:bottom="1440" w:left="1166" w:header="720" w:footer="720" w:gutter="0"/>
          <w:cols w:space="720"/>
          <w:titlePg/>
          <w:docGrid w:linePitch="360"/>
        </w:sectPr>
      </w:pPr>
      <w:r w:rsidRPr="009412A6">
        <w:rPr>
          <w:noProof/>
        </w:rPr>
        <w:drawing>
          <wp:inline distT="0" distB="0" distL="0" distR="0" wp14:anchorId="7D5B0306" wp14:editId="2790057A">
            <wp:extent cx="13866862" cy="565265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3646"/>
                    <a:stretch/>
                  </pic:blipFill>
                  <pic:spPr bwMode="auto">
                    <a:xfrm>
                      <a:off x="0" y="0"/>
                      <a:ext cx="13879279" cy="5657717"/>
                    </a:xfrm>
                    <a:prstGeom prst="rect">
                      <a:avLst/>
                    </a:prstGeom>
                    <a:noFill/>
                    <a:ln>
                      <a:noFill/>
                    </a:ln>
                    <a:extLst>
                      <a:ext uri="{53640926-AAD7-44D8-BBD7-CCE9431645EC}">
                        <a14:shadowObscured xmlns:a14="http://schemas.microsoft.com/office/drawing/2010/main"/>
                      </a:ext>
                    </a:extLst>
                  </pic:spPr>
                </pic:pic>
              </a:graphicData>
            </a:graphic>
          </wp:inline>
        </w:drawing>
      </w:r>
    </w:p>
    <w:p w:rsidR="001D0094" w:rsidRPr="00B705D4" w:rsidRDefault="001D0094" w:rsidP="00B47DBC">
      <w:pPr>
        <w:spacing w:after="120" w:line="276" w:lineRule="auto"/>
      </w:pPr>
    </w:p>
    <w:sectPr w:rsidR="001D0094" w:rsidRPr="00B705D4" w:rsidSect="0033451B">
      <w:pgSz w:w="12240" w:h="15840" w:code="1"/>
      <w:pgMar w:top="1440" w:right="1440" w:bottom="1166"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B7B" w:rsidRDefault="00F97B7B">
      <w:r>
        <w:separator/>
      </w:r>
    </w:p>
  </w:endnote>
  <w:endnote w:type="continuationSeparator" w:id="0">
    <w:p w:rsidR="00F97B7B" w:rsidRDefault="00F97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Optima Mediu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120144"/>
      <w:docPartObj>
        <w:docPartGallery w:val="Page Numbers (Bottom of Page)"/>
        <w:docPartUnique/>
      </w:docPartObj>
    </w:sdtPr>
    <w:sdtEndPr>
      <w:rPr>
        <w:noProof/>
      </w:rPr>
    </w:sdtEndPr>
    <w:sdtContent>
      <w:p w:rsidR="001A615A" w:rsidRDefault="001A615A">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rsidR="001A615A" w:rsidRDefault="001A61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B7B" w:rsidRDefault="00F97B7B">
      <w:r>
        <w:separator/>
      </w:r>
    </w:p>
  </w:footnote>
  <w:footnote w:type="continuationSeparator" w:id="0">
    <w:p w:rsidR="00F97B7B" w:rsidRDefault="00F97B7B">
      <w:r>
        <w:continuationSeparator/>
      </w:r>
    </w:p>
  </w:footnote>
  <w:footnote w:id="1">
    <w:p w:rsidR="00B3428D" w:rsidRPr="00803FD0" w:rsidRDefault="00B3428D">
      <w:pPr>
        <w:pStyle w:val="FootnoteText"/>
        <w:rPr>
          <w:rFonts w:asciiTheme="minorHAnsi" w:hAnsiTheme="minorHAnsi" w:cstheme="minorHAnsi"/>
        </w:rPr>
      </w:pPr>
      <w:r w:rsidRPr="00803FD0">
        <w:rPr>
          <w:rStyle w:val="FootnoteReference"/>
          <w:rFonts w:asciiTheme="minorHAnsi" w:hAnsiTheme="minorHAnsi" w:cstheme="minorHAnsi"/>
        </w:rPr>
        <w:footnoteRef/>
      </w:r>
      <w:r w:rsidRPr="00803FD0">
        <w:rPr>
          <w:rFonts w:asciiTheme="minorHAnsi" w:hAnsiTheme="minorHAnsi" w:cstheme="minorHAnsi"/>
        </w:rPr>
        <w:t xml:space="preserve"> Assuming the historic 1 percent rate of growth in households between 2001 and 2014, continues, the City will expend its current supply of buildable land around 2029 (14 years).</w:t>
      </w:r>
    </w:p>
  </w:footnote>
  <w:footnote w:id="2">
    <w:p w:rsidR="002114A4" w:rsidRDefault="002114A4">
      <w:pPr>
        <w:pStyle w:val="FootnoteText"/>
      </w:pPr>
      <w:r>
        <w:rPr>
          <w:rStyle w:val="FootnoteReference"/>
        </w:rPr>
        <w:footnoteRef/>
      </w:r>
      <w:r>
        <w:t xml:space="preserve"> </w:t>
      </w:r>
      <w:proofErr w:type="gramStart"/>
      <w:r>
        <w:t>Based on 2029 build</w:t>
      </w:r>
      <w:r w:rsidR="00C44C89">
        <w:t>-</w:t>
      </w:r>
      <w:r>
        <w:t>out.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63E83712"/>
    <w:lvl w:ilvl="0">
      <w:start w:val="1"/>
      <w:numFmt w:val="bullet"/>
      <w:lvlText w:val=""/>
      <w:lvlJc w:val="left"/>
      <w:pPr>
        <w:tabs>
          <w:tab w:val="num" w:pos="1440"/>
        </w:tabs>
        <w:ind w:left="1440" w:hanging="360"/>
      </w:pPr>
      <w:rPr>
        <w:rFonts w:ascii="Symbol" w:hAnsi="Symbol" w:hint="default"/>
      </w:rPr>
    </w:lvl>
  </w:abstractNum>
  <w:abstractNum w:abstractNumId="1">
    <w:nsid w:val="077A033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
    <w:nsid w:val="0849795A"/>
    <w:multiLevelType w:val="multilevel"/>
    <w:tmpl w:val="0409001F"/>
    <w:numStyleLink w:val="Numbered"/>
  </w:abstractNum>
  <w:abstractNum w:abstractNumId="3">
    <w:nsid w:val="09314155"/>
    <w:multiLevelType w:val="hybridMultilevel"/>
    <w:tmpl w:val="4FEA1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5E5685"/>
    <w:multiLevelType w:val="hybridMultilevel"/>
    <w:tmpl w:val="C9704C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3031291"/>
    <w:multiLevelType w:val="hybridMultilevel"/>
    <w:tmpl w:val="F58ECE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374D0"/>
    <w:multiLevelType w:val="hybridMultilevel"/>
    <w:tmpl w:val="3670E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0783C"/>
    <w:multiLevelType w:val="hybridMultilevel"/>
    <w:tmpl w:val="C462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2F430A"/>
    <w:multiLevelType w:val="multilevel"/>
    <w:tmpl w:val="0BDC69EC"/>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rPr>
        <w:rFonts w:ascii="Cambria" w:hAnsi="Cambria"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EC75BD"/>
    <w:multiLevelType w:val="hybridMultilevel"/>
    <w:tmpl w:val="FC98E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7B6391"/>
    <w:multiLevelType w:val="hybridMultilevel"/>
    <w:tmpl w:val="A686DF0A"/>
    <w:lvl w:ilvl="0" w:tplc="0409000F">
      <w:start w:val="1"/>
      <w:numFmt w:val="decimal"/>
      <w:lvlText w:val="%1."/>
      <w:lvlJc w:val="left"/>
      <w:pPr>
        <w:tabs>
          <w:tab w:val="num" w:pos="720"/>
        </w:tabs>
        <w:ind w:left="720" w:hanging="360"/>
      </w:pPr>
      <w:rPr>
        <w:rFonts w:hint="default"/>
      </w:rPr>
    </w:lvl>
    <w:lvl w:ilvl="1" w:tplc="027461DC">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53A6653"/>
    <w:multiLevelType w:val="multilevel"/>
    <w:tmpl w:val="0409001F"/>
    <w:numStyleLink w:val="111111"/>
  </w:abstractNum>
  <w:abstractNum w:abstractNumId="12">
    <w:nsid w:val="381C3E6A"/>
    <w:multiLevelType w:val="hybridMultilevel"/>
    <w:tmpl w:val="51662F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C170163"/>
    <w:multiLevelType w:val="hybridMultilevel"/>
    <w:tmpl w:val="CD3AC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F573A24"/>
    <w:multiLevelType w:val="hybridMultilevel"/>
    <w:tmpl w:val="7BC25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415139"/>
    <w:multiLevelType w:val="hybridMultilevel"/>
    <w:tmpl w:val="6C80E9D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6721D8"/>
    <w:multiLevelType w:val="hybridMultilevel"/>
    <w:tmpl w:val="14F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7E1D4D"/>
    <w:multiLevelType w:val="hybridMultilevel"/>
    <w:tmpl w:val="902A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D20A38"/>
    <w:multiLevelType w:val="hybridMultilevel"/>
    <w:tmpl w:val="56821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3FE1B10"/>
    <w:multiLevelType w:val="hybridMultilevel"/>
    <w:tmpl w:val="6414E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E20E32"/>
    <w:multiLevelType w:val="hybridMultilevel"/>
    <w:tmpl w:val="9664EC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724735D"/>
    <w:multiLevelType w:val="hybridMultilevel"/>
    <w:tmpl w:val="6B9C9990"/>
    <w:lvl w:ilvl="0" w:tplc="9FA03BA4">
      <w:start w:val="1"/>
      <w:numFmt w:val="bullet"/>
      <w:pStyle w:val="bulletlist"/>
      <w:lvlText w:val=""/>
      <w:lvlJc w:val="left"/>
      <w:pPr>
        <w:tabs>
          <w:tab w:val="num" w:pos="720"/>
        </w:tabs>
        <w:ind w:left="72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7A67EA6"/>
    <w:multiLevelType w:val="hybridMultilevel"/>
    <w:tmpl w:val="EB0A6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AB2233"/>
    <w:multiLevelType w:val="hybridMultilevel"/>
    <w:tmpl w:val="4E044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E01C2B"/>
    <w:multiLevelType w:val="hybridMultilevel"/>
    <w:tmpl w:val="BCD4B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5C70AC"/>
    <w:multiLevelType w:val="hybridMultilevel"/>
    <w:tmpl w:val="81EA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8D22EB"/>
    <w:multiLevelType w:val="hybridMultilevel"/>
    <w:tmpl w:val="B5E8F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B351E1"/>
    <w:multiLevelType w:val="multilevel"/>
    <w:tmpl w:val="0409001F"/>
    <w:numStyleLink w:val="Numbered"/>
  </w:abstractNum>
  <w:abstractNum w:abstractNumId="28">
    <w:nsid w:val="54614C08"/>
    <w:multiLevelType w:val="hybridMultilevel"/>
    <w:tmpl w:val="42622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9D7166"/>
    <w:multiLevelType w:val="multilevel"/>
    <w:tmpl w:val="0409001F"/>
    <w:styleLink w:val="Numbered"/>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sz w:val="22"/>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088"/>
        </w:tabs>
        <w:ind w:left="2088" w:hanging="648"/>
      </w:pPr>
      <w:rPr>
        <w:rFonts w:hint="default"/>
      </w:rPr>
    </w:lvl>
    <w:lvl w:ilvl="4">
      <w:start w:val="1"/>
      <w:numFmt w:val="decimal"/>
      <w:lvlText w:val="%1.%2.%3.%4.%5."/>
      <w:lvlJc w:val="left"/>
      <w:pPr>
        <w:tabs>
          <w:tab w:val="num" w:pos="2592"/>
        </w:tabs>
        <w:ind w:left="2592" w:hanging="792"/>
      </w:pPr>
      <w:rPr>
        <w:rFonts w:hint="default"/>
      </w:rPr>
    </w:lvl>
    <w:lvl w:ilvl="5">
      <w:start w:val="1"/>
      <w:numFmt w:val="decimal"/>
      <w:lvlText w:val="%1.%2.%3.%4.%5.%6."/>
      <w:lvlJc w:val="left"/>
      <w:pPr>
        <w:tabs>
          <w:tab w:val="num" w:pos="3096"/>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0">
    <w:nsid w:val="601003D6"/>
    <w:multiLevelType w:val="hybridMultilevel"/>
    <w:tmpl w:val="24006BDC"/>
    <w:lvl w:ilvl="0" w:tplc="7254A48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727109D"/>
    <w:multiLevelType w:val="hybridMultilevel"/>
    <w:tmpl w:val="239A1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EC1C00"/>
    <w:multiLevelType w:val="hybridMultilevel"/>
    <w:tmpl w:val="A85EBBB0"/>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33">
    <w:nsid w:val="6E992B78"/>
    <w:multiLevelType w:val="hybridMultilevel"/>
    <w:tmpl w:val="8EEA4D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76695D4F"/>
    <w:multiLevelType w:val="hybridMultilevel"/>
    <w:tmpl w:val="930A5824"/>
    <w:lvl w:ilvl="0" w:tplc="0409000F">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B426542"/>
    <w:multiLevelType w:val="hybridMultilevel"/>
    <w:tmpl w:val="2ECA4C3A"/>
    <w:lvl w:ilvl="0" w:tplc="9A5055E6">
      <w:start w:val="1"/>
      <w:numFmt w:val="bullet"/>
      <w:pStyle w:val="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4"/>
  </w:num>
  <w:num w:numId="3">
    <w:abstractNumId w:val="10"/>
  </w:num>
  <w:num w:numId="4">
    <w:abstractNumId w:val="30"/>
  </w:num>
  <w:num w:numId="5">
    <w:abstractNumId w:val="21"/>
  </w:num>
  <w:num w:numId="6">
    <w:abstractNumId w:val="21"/>
  </w:num>
  <w:num w:numId="7">
    <w:abstractNumId w:val="15"/>
  </w:num>
  <w:num w:numId="8">
    <w:abstractNumId w:val="8"/>
  </w:num>
  <w:num w:numId="9">
    <w:abstractNumId w:val="29"/>
  </w:num>
  <w:num w:numId="10">
    <w:abstractNumId w:val="1"/>
  </w:num>
  <w:num w:numId="11">
    <w:abstractNumId w:val="11"/>
  </w:num>
  <w:num w:numId="12">
    <w:abstractNumId w:val="35"/>
  </w:num>
  <w:num w:numId="13">
    <w:abstractNumId w:val="27"/>
  </w:num>
  <w:num w:numId="14">
    <w:abstractNumId w:val="2"/>
  </w:num>
  <w:num w:numId="15">
    <w:abstractNumId w:val="25"/>
  </w:num>
  <w:num w:numId="16">
    <w:abstractNumId w:val="14"/>
  </w:num>
  <w:num w:numId="17">
    <w:abstractNumId w:val="32"/>
  </w:num>
  <w:num w:numId="18">
    <w:abstractNumId w:val="19"/>
  </w:num>
  <w:num w:numId="19">
    <w:abstractNumId w:val="13"/>
  </w:num>
  <w:num w:numId="20">
    <w:abstractNumId w:val="18"/>
  </w:num>
  <w:num w:numId="21">
    <w:abstractNumId w:val="5"/>
  </w:num>
  <w:num w:numId="22">
    <w:abstractNumId w:val="12"/>
  </w:num>
  <w:num w:numId="23">
    <w:abstractNumId w:val="33"/>
  </w:num>
  <w:num w:numId="24">
    <w:abstractNumId w:val="9"/>
  </w:num>
  <w:num w:numId="25">
    <w:abstractNumId w:val="28"/>
  </w:num>
  <w:num w:numId="26">
    <w:abstractNumId w:val="23"/>
  </w:num>
  <w:num w:numId="27">
    <w:abstractNumId w:val="3"/>
  </w:num>
  <w:num w:numId="28">
    <w:abstractNumId w:val="24"/>
  </w:num>
  <w:num w:numId="29">
    <w:abstractNumId w:val="6"/>
  </w:num>
  <w:num w:numId="30">
    <w:abstractNumId w:val="26"/>
  </w:num>
  <w:num w:numId="31">
    <w:abstractNumId w:val="22"/>
  </w:num>
  <w:num w:numId="32">
    <w:abstractNumId w:val="7"/>
  </w:num>
  <w:num w:numId="33">
    <w:abstractNumId w:val="20"/>
  </w:num>
  <w:num w:numId="34">
    <w:abstractNumId w:val="17"/>
  </w:num>
  <w:num w:numId="35">
    <w:abstractNumId w:val="16"/>
  </w:num>
  <w:num w:numId="36">
    <w:abstractNumId w:val="3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FA4"/>
    <w:rsid w:val="00000411"/>
    <w:rsid w:val="00000F04"/>
    <w:rsid w:val="0000217D"/>
    <w:rsid w:val="000022E1"/>
    <w:rsid w:val="00002641"/>
    <w:rsid w:val="000045A3"/>
    <w:rsid w:val="00006265"/>
    <w:rsid w:val="0000770B"/>
    <w:rsid w:val="00010CFF"/>
    <w:rsid w:val="00011F00"/>
    <w:rsid w:val="000128D6"/>
    <w:rsid w:val="000129DF"/>
    <w:rsid w:val="00013507"/>
    <w:rsid w:val="00014B49"/>
    <w:rsid w:val="00014B5C"/>
    <w:rsid w:val="00015B76"/>
    <w:rsid w:val="00016A35"/>
    <w:rsid w:val="00016C0B"/>
    <w:rsid w:val="00016D7B"/>
    <w:rsid w:val="0001748C"/>
    <w:rsid w:val="00020160"/>
    <w:rsid w:val="00020739"/>
    <w:rsid w:val="00020B18"/>
    <w:rsid w:val="0002239D"/>
    <w:rsid w:val="00023A78"/>
    <w:rsid w:val="00024814"/>
    <w:rsid w:val="00025294"/>
    <w:rsid w:val="00025E90"/>
    <w:rsid w:val="00026452"/>
    <w:rsid w:val="0003111E"/>
    <w:rsid w:val="00033FFB"/>
    <w:rsid w:val="000342C9"/>
    <w:rsid w:val="00034B8B"/>
    <w:rsid w:val="00034FD4"/>
    <w:rsid w:val="00035EC0"/>
    <w:rsid w:val="00036090"/>
    <w:rsid w:val="00036F0D"/>
    <w:rsid w:val="0003706B"/>
    <w:rsid w:val="00037BB9"/>
    <w:rsid w:val="00040DB4"/>
    <w:rsid w:val="0004109F"/>
    <w:rsid w:val="00041168"/>
    <w:rsid w:val="00041D06"/>
    <w:rsid w:val="00042B70"/>
    <w:rsid w:val="00045C51"/>
    <w:rsid w:val="000460A9"/>
    <w:rsid w:val="00047430"/>
    <w:rsid w:val="00047541"/>
    <w:rsid w:val="00047C07"/>
    <w:rsid w:val="00047DD4"/>
    <w:rsid w:val="00050BEF"/>
    <w:rsid w:val="000516BC"/>
    <w:rsid w:val="000520EF"/>
    <w:rsid w:val="00053320"/>
    <w:rsid w:val="00053B47"/>
    <w:rsid w:val="00053E3C"/>
    <w:rsid w:val="00054BDC"/>
    <w:rsid w:val="00055614"/>
    <w:rsid w:val="00055DC0"/>
    <w:rsid w:val="000606B5"/>
    <w:rsid w:val="00061D73"/>
    <w:rsid w:val="00062B6C"/>
    <w:rsid w:val="000635F8"/>
    <w:rsid w:val="00063686"/>
    <w:rsid w:val="00064F2F"/>
    <w:rsid w:val="000660D0"/>
    <w:rsid w:val="000676FA"/>
    <w:rsid w:val="00070D1C"/>
    <w:rsid w:val="0007284B"/>
    <w:rsid w:val="000734FA"/>
    <w:rsid w:val="00074802"/>
    <w:rsid w:val="00075303"/>
    <w:rsid w:val="0007558F"/>
    <w:rsid w:val="00077CF5"/>
    <w:rsid w:val="00080D63"/>
    <w:rsid w:val="000811A7"/>
    <w:rsid w:val="00083759"/>
    <w:rsid w:val="00086A32"/>
    <w:rsid w:val="00086CC1"/>
    <w:rsid w:val="00087A82"/>
    <w:rsid w:val="00087FB6"/>
    <w:rsid w:val="000919AA"/>
    <w:rsid w:val="00092AF3"/>
    <w:rsid w:val="00093CD8"/>
    <w:rsid w:val="00094167"/>
    <w:rsid w:val="0009540A"/>
    <w:rsid w:val="00095983"/>
    <w:rsid w:val="00095D8A"/>
    <w:rsid w:val="00095E9C"/>
    <w:rsid w:val="0009615F"/>
    <w:rsid w:val="00096345"/>
    <w:rsid w:val="000964F6"/>
    <w:rsid w:val="00096AD6"/>
    <w:rsid w:val="00097E16"/>
    <w:rsid w:val="000A032D"/>
    <w:rsid w:val="000A0DAA"/>
    <w:rsid w:val="000A1222"/>
    <w:rsid w:val="000A198B"/>
    <w:rsid w:val="000A235D"/>
    <w:rsid w:val="000A250E"/>
    <w:rsid w:val="000A2AED"/>
    <w:rsid w:val="000A2D6D"/>
    <w:rsid w:val="000A2E1E"/>
    <w:rsid w:val="000A33F4"/>
    <w:rsid w:val="000A5C48"/>
    <w:rsid w:val="000A60BC"/>
    <w:rsid w:val="000A73AC"/>
    <w:rsid w:val="000A7A05"/>
    <w:rsid w:val="000B022F"/>
    <w:rsid w:val="000B1EA1"/>
    <w:rsid w:val="000B2295"/>
    <w:rsid w:val="000B3258"/>
    <w:rsid w:val="000B7EED"/>
    <w:rsid w:val="000C08F3"/>
    <w:rsid w:val="000C1BBC"/>
    <w:rsid w:val="000C2354"/>
    <w:rsid w:val="000C28E0"/>
    <w:rsid w:val="000C2A12"/>
    <w:rsid w:val="000C2FC4"/>
    <w:rsid w:val="000C31BD"/>
    <w:rsid w:val="000C39F1"/>
    <w:rsid w:val="000C3A58"/>
    <w:rsid w:val="000C4265"/>
    <w:rsid w:val="000C4975"/>
    <w:rsid w:val="000C5019"/>
    <w:rsid w:val="000C52E6"/>
    <w:rsid w:val="000C565C"/>
    <w:rsid w:val="000C58D4"/>
    <w:rsid w:val="000C5A29"/>
    <w:rsid w:val="000C5CA8"/>
    <w:rsid w:val="000C6D33"/>
    <w:rsid w:val="000C77F8"/>
    <w:rsid w:val="000D019D"/>
    <w:rsid w:val="000D2277"/>
    <w:rsid w:val="000D2454"/>
    <w:rsid w:val="000D2D6D"/>
    <w:rsid w:val="000D3CFF"/>
    <w:rsid w:val="000D3F37"/>
    <w:rsid w:val="000D4732"/>
    <w:rsid w:val="000D4EC6"/>
    <w:rsid w:val="000D57DA"/>
    <w:rsid w:val="000D65D9"/>
    <w:rsid w:val="000E0F1C"/>
    <w:rsid w:val="000E1D48"/>
    <w:rsid w:val="000E1D83"/>
    <w:rsid w:val="000E2565"/>
    <w:rsid w:val="000E2B5F"/>
    <w:rsid w:val="000E30EA"/>
    <w:rsid w:val="000E3C53"/>
    <w:rsid w:val="000E3F8E"/>
    <w:rsid w:val="000E4AB4"/>
    <w:rsid w:val="000E5068"/>
    <w:rsid w:val="000E6A24"/>
    <w:rsid w:val="000E6A6E"/>
    <w:rsid w:val="000E7162"/>
    <w:rsid w:val="000E7B94"/>
    <w:rsid w:val="000F09A5"/>
    <w:rsid w:val="000F0BBD"/>
    <w:rsid w:val="000F10E6"/>
    <w:rsid w:val="000F1872"/>
    <w:rsid w:val="000F329D"/>
    <w:rsid w:val="000F5144"/>
    <w:rsid w:val="000F7294"/>
    <w:rsid w:val="000F7537"/>
    <w:rsid w:val="0010002A"/>
    <w:rsid w:val="0010062A"/>
    <w:rsid w:val="00101035"/>
    <w:rsid w:val="001015F9"/>
    <w:rsid w:val="00102774"/>
    <w:rsid w:val="0010357D"/>
    <w:rsid w:val="001047AD"/>
    <w:rsid w:val="00104D1C"/>
    <w:rsid w:val="0010550D"/>
    <w:rsid w:val="00105669"/>
    <w:rsid w:val="00106112"/>
    <w:rsid w:val="00106391"/>
    <w:rsid w:val="00107F91"/>
    <w:rsid w:val="00110496"/>
    <w:rsid w:val="00110A56"/>
    <w:rsid w:val="0011163E"/>
    <w:rsid w:val="00111DBA"/>
    <w:rsid w:val="00111E3A"/>
    <w:rsid w:val="0011251F"/>
    <w:rsid w:val="001132BD"/>
    <w:rsid w:val="00116967"/>
    <w:rsid w:val="00116CB7"/>
    <w:rsid w:val="001218E6"/>
    <w:rsid w:val="00122634"/>
    <w:rsid w:val="00122BBB"/>
    <w:rsid w:val="00123C3B"/>
    <w:rsid w:val="00123DB3"/>
    <w:rsid w:val="0012561E"/>
    <w:rsid w:val="001267D5"/>
    <w:rsid w:val="00133E53"/>
    <w:rsid w:val="00134075"/>
    <w:rsid w:val="001341E1"/>
    <w:rsid w:val="0013489E"/>
    <w:rsid w:val="0013518C"/>
    <w:rsid w:val="0013563E"/>
    <w:rsid w:val="00135B94"/>
    <w:rsid w:val="00137288"/>
    <w:rsid w:val="001424F5"/>
    <w:rsid w:val="00142E95"/>
    <w:rsid w:val="001438BA"/>
    <w:rsid w:val="00143B5E"/>
    <w:rsid w:val="00143FA8"/>
    <w:rsid w:val="00144B3B"/>
    <w:rsid w:val="00145B23"/>
    <w:rsid w:val="00146226"/>
    <w:rsid w:val="00146969"/>
    <w:rsid w:val="0014698C"/>
    <w:rsid w:val="00153708"/>
    <w:rsid w:val="001566EB"/>
    <w:rsid w:val="00156D70"/>
    <w:rsid w:val="0016044F"/>
    <w:rsid w:val="00161401"/>
    <w:rsid w:val="001624B9"/>
    <w:rsid w:val="0016396C"/>
    <w:rsid w:val="00163DF2"/>
    <w:rsid w:val="001640C2"/>
    <w:rsid w:val="00164257"/>
    <w:rsid w:val="001645E7"/>
    <w:rsid w:val="001653B1"/>
    <w:rsid w:val="00171154"/>
    <w:rsid w:val="00172478"/>
    <w:rsid w:val="00172C78"/>
    <w:rsid w:val="00174071"/>
    <w:rsid w:val="00175FB1"/>
    <w:rsid w:val="00176199"/>
    <w:rsid w:val="0017647C"/>
    <w:rsid w:val="00177136"/>
    <w:rsid w:val="0017719B"/>
    <w:rsid w:val="00180906"/>
    <w:rsid w:val="00181545"/>
    <w:rsid w:val="00182F40"/>
    <w:rsid w:val="00184CCE"/>
    <w:rsid w:val="00184DFA"/>
    <w:rsid w:val="001856AE"/>
    <w:rsid w:val="00186498"/>
    <w:rsid w:val="00187854"/>
    <w:rsid w:val="001917C6"/>
    <w:rsid w:val="00192A21"/>
    <w:rsid w:val="00192D0D"/>
    <w:rsid w:val="00192E36"/>
    <w:rsid w:val="00193D5E"/>
    <w:rsid w:val="00193F1A"/>
    <w:rsid w:val="00193FEE"/>
    <w:rsid w:val="001942B4"/>
    <w:rsid w:val="001947A0"/>
    <w:rsid w:val="00196E96"/>
    <w:rsid w:val="001976BC"/>
    <w:rsid w:val="001A0087"/>
    <w:rsid w:val="001A015B"/>
    <w:rsid w:val="001A1176"/>
    <w:rsid w:val="001A124B"/>
    <w:rsid w:val="001A12D4"/>
    <w:rsid w:val="001A385B"/>
    <w:rsid w:val="001A4B7C"/>
    <w:rsid w:val="001A512E"/>
    <w:rsid w:val="001A563B"/>
    <w:rsid w:val="001A615A"/>
    <w:rsid w:val="001A7023"/>
    <w:rsid w:val="001A751C"/>
    <w:rsid w:val="001A7FDE"/>
    <w:rsid w:val="001B037C"/>
    <w:rsid w:val="001B2F47"/>
    <w:rsid w:val="001B329A"/>
    <w:rsid w:val="001B34F4"/>
    <w:rsid w:val="001B3BC7"/>
    <w:rsid w:val="001B583B"/>
    <w:rsid w:val="001B5A57"/>
    <w:rsid w:val="001B613C"/>
    <w:rsid w:val="001B62EB"/>
    <w:rsid w:val="001C0194"/>
    <w:rsid w:val="001C10E2"/>
    <w:rsid w:val="001C11D8"/>
    <w:rsid w:val="001C1C78"/>
    <w:rsid w:val="001C22E9"/>
    <w:rsid w:val="001C2AB8"/>
    <w:rsid w:val="001C3595"/>
    <w:rsid w:val="001C4502"/>
    <w:rsid w:val="001C5A5A"/>
    <w:rsid w:val="001C5BF3"/>
    <w:rsid w:val="001C5CCD"/>
    <w:rsid w:val="001C6324"/>
    <w:rsid w:val="001C6A47"/>
    <w:rsid w:val="001C7CA1"/>
    <w:rsid w:val="001D003B"/>
    <w:rsid w:val="001D0094"/>
    <w:rsid w:val="001D07AC"/>
    <w:rsid w:val="001D15C4"/>
    <w:rsid w:val="001D160B"/>
    <w:rsid w:val="001D1E55"/>
    <w:rsid w:val="001D42F4"/>
    <w:rsid w:val="001D45C9"/>
    <w:rsid w:val="001D53F9"/>
    <w:rsid w:val="001D5474"/>
    <w:rsid w:val="001D54F5"/>
    <w:rsid w:val="001D5619"/>
    <w:rsid w:val="001D57DB"/>
    <w:rsid w:val="001D6026"/>
    <w:rsid w:val="001D6E93"/>
    <w:rsid w:val="001D7FF1"/>
    <w:rsid w:val="001E05C3"/>
    <w:rsid w:val="001E1E0B"/>
    <w:rsid w:val="001E2750"/>
    <w:rsid w:val="001E2F6A"/>
    <w:rsid w:val="001E385F"/>
    <w:rsid w:val="001E4767"/>
    <w:rsid w:val="001E48B3"/>
    <w:rsid w:val="001E53E9"/>
    <w:rsid w:val="001F0352"/>
    <w:rsid w:val="001F0C61"/>
    <w:rsid w:val="001F3FCF"/>
    <w:rsid w:val="001F45A1"/>
    <w:rsid w:val="001F4674"/>
    <w:rsid w:val="001F4B34"/>
    <w:rsid w:val="001F4EE6"/>
    <w:rsid w:val="001F74C2"/>
    <w:rsid w:val="001F776D"/>
    <w:rsid w:val="002002B4"/>
    <w:rsid w:val="002010E7"/>
    <w:rsid w:val="0020225C"/>
    <w:rsid w:val="0020256C"/>
    <w:rsid w:val="00202BFF"/>
    <w:rsid w:val="0020378E"/>
    <w:rsid w:val="00203C20"/>
    <w:rsid w:val="00203CB5"/>
    <w:rsid w:val="00203F7F"/>
    <w:rsid w:val="0020662A"/>
    <w:rsid w:val="002072E6"/>
    <w:rsid w:val="0020737A"/>
    <w:rsid w:val="002079E7"/>
    <w:rsid w:val="00207D5C"/>
    <w:rsid w:val="00207F24"/>
    <w:rsid w:val="00207F9A"/>
    <w:rsid w:val="002108CD"/>
    <w:rsid w:val="0021138E"/>
    <w:rsid w:val="002114A4"/>
    <w:rsid w:val="00212523"/>
    <w:rsid w:val="00212562"/>
    <w:rsid w:val="002125C2"/>
    <w:rsid w:val="00214595"/>
    <w:rsid w:val="00215B61"/>
    <w:rsid w:val="00216BE7"/>
    <w:rsid w:val="00216D7A"/>
    <w:rsid w:val="0021739D"/>
    <w:rsid w:val="00217CD1"/>
    <w:rsid w:val="002203C7"/>
    <w:rsid w:val="00220440"/>
    <w:rsid w:val="002206A8"/>
    <w:rsid w:val="00220A92"/>
    <w:rsid w:val="00220CA1"/>
    <w:rsid w:val="00222ED3"/>
    <w:rsid w:val="002236F7"/>
    <w:rsid w:val="002245AB"/>
    <w:rsid w:val="00224B17"/>
    <w:rsid w:val="0022535F"/>
    <w:rsid w:val="00227648"/>
    <w:rsid w:val="00227B8F"/>
    <w:rsid w:val="00227EAF"/>
    <w:rsid w:val="00230486"/>
    <w:rsid w:val="00230EEC"/>
    <w:rsid w:val="00231BBC"/>
    <w:rsid w:val="00232FD0"/>
    <w:rsid w:val="0023414E"/>
    <w:rsid w:val="00234F48"/>
    <w:rsid w:val="0023580C"/>
    <w:rsid w:val="0023674E"/>
    <w:rsid w:val="002400C1"/>
    <w:rsid w:val="00240C0F"/>
    <w:rsid w:val="00241919"/>
    <w:rsid w:val="002433BF"/>
    <w:rsid w:val="00243452"/>
    <w:rsid w:val="002438BD"/>
    <w:rsid w:val="00245FFD"/>
    <w:rsid w:val="002469D9"/>
    <w:rsid w:val="00246CBC"/>
    <w:rsid w:val="002501C0"/>
    <w:rsid w:val="00252453"/>
    <w:rsid w:val="00252BF3"/>
    <w:rsid w:val="00254026"/>
    <w:rsid w:val="00254719"/>
    <w:rsid w:val="00254B9C"/>
    <w:rsid w:val="00254E89"/>
    <w:rsid w:val="0025561E"/>
    <w:rsid w:val="00255A21"/>
    <w:rsid w:val="002564C9"/>
    <w:rsid w:val="00256A3E"/>
    <w:rsid w:val="00256AD2"/>
    <w:rsid w:val="002606BC"/>
    <w:rsid w:val="00260B5F"/>
    <w:rsid w:val="002612CA"/>
    <w:rsid w:val="0026392E"/>
    <w:rsid w:val="00263963"/>
    <w:rsid w:val="00263A8D"/>
    <w:rsid w:val="00263B8E"/>
    <w:rsid w:val="00264F40"/>
    <w:rsid w:val="00265966"/>
    <w:rsid w:val="00266D08"/>
    <w:rsid w:val="002703A3"/>
    <w:rsid w:val="002703D4"/>
    <w:rsid w:val="002708C2"/>
    <w:rsid w:val="002726D9"/>
    <w:rsid w:val="00272873"/>
    <w:rsid w:val="0027293B"/>
    <w:rsid w:val="00272D67"/>
    <w:rsid w:val="00273E17"/>
    <w:rsid w:val="00274837"/>
    <w:rsid w:val="00274E82"/>
    <w:rsid w:val="00280A59"/>
    <w:rsid w:val="002811E4"/>
    <w:rsid w:val="00281688"/>
    <w:rsid w:val="00281C27"/>
    <w:rsid w:val="00282412"/>
    <w:rsid w:val="00282B08"/>
    <w:rsid w:val="00283008"/>
    <w:rsid w:val="00283445"/>
    <w:rsid w:val="00283BD8"/>
    <w:rsid w:val="00283EDC"/>
    <w:rsid w:val="002858A9"/>
    <w:rsid w:val="00286964"/>
    <w:rsid w:val="00287E32"/>
    <w:rsid w:val="00291074"/>
    <w:rsid w:val="002911AE"/>
    <w:rsid w:val="00291283"/>
    <w:rsid w:val="00293250"/>
    <w:rsid w:val="00295A95"/>
    <w:rsid w:val="00295DED"/>
    <w:rsid w:val="00296E43"/>
    <w:rsid w:val="002A03DA"/>
    <w:rsid w:val="002A12DF"/>
    <w:rsid w:val="002A1E19"/>
    <w:rsid w:val="002A2036"/>
    <w:rsid w:val="002A203D"/>
    <w:rsid w:val="002A2161"/>
    <w:rsid w:val="002A2493"/>
    <w:rsid w:val="002A2834"/>
    <w:rsid w:val="002A2852"/>
    <w:rsid w:val="002A3688"/>
    <w:rsid w:val="002A5249"/>
    <w:rsid w:val="002A6E94"/>
    <w:rsid w:val="002A7CD4"/>
    <w:rsid w:val="002B1DC9"/>
    <w:rsid w:val="002B2B54"/>
    <w:rsid w:val="002B3122"/>
    <w:rsid w:val="002B35A4"/>
    <w:rsid w:val="002B3939"/>
    <w:rsid w:val="002B56AE"/>
    <w:rsid w:val="002B57A1"/>
    <w:rsid w:val="002B5E35"/>
    <w:rsid w:val="002B784F"/>
    <w:rsid w:val="002B7B6D"/>
    <w:rsid w:val="002B7BCF"/>
    <w:rsid w:val="002C045C"/>
    <w:rsid w:val="002C0D5F"/>
    <w:rsid w:val="002C17E7"/>
    <w:rsid w:val="002C255B"/>
    <w:rsid w:val="002C3704"/>
    <w:rsid w:val="002C3864"/>
    <w:rsid w:val="002C3D7C"/>
    <w:rsid w:val="002C4717"/>
    <w:rsid w:val="002C554A"/>
    <w:rsid w:val="002C6B5F"/>
    <w:rsid w:val="002C6B9A"/>
    <w:rsid w:val="002C79AA"/>
    <w:rsid w:val="002C79EF"/>
    <w:rsid w:val="002C7B3B"/>
    <w:rsid w:val="002D08AF"/>
    <w:rsid w:val="002D0A93"/>
    <w:rsid w:val="002D216A"/>
    <w:rsid w:val="002D2D06"/>
    <w:rsid w:val="002D572C"/>
    <w:rsid w:val="002D586E"/>
    <w:rsid w:val="002D6271"/>
    <w:rsid w:val="002D6415"/>
    <w:rsid w:val="002D6A2A"/>
    <w:rsid w:val="002D713C"/>
    <w:rsid w:val="002D7908"/>
    <w:rsid w:val="002E0BE6"/>
    <w:rsid w:val="002E0C3D"/>
    <w:rsid w:val="002E2A4A"/>
    <w:rsid w:val="002E2B38"/>
    <w:rsid w:val="002E47A9"/>
    <w:rsid w:val="002E50D0"/>
    <w:rsid w:val="002E6823"/>
    <w:rsid w:val="002F32D9"/>
    <w:rsid w:val="002F48A5"/>
    <w:rsid w:val="002F5EA5"/>
    <w:rsid w:val="002F7534"/>
    <w:rsid w:val="002F7A2C"/>
    <w:rsid w:val="002F7FD7"/>
    <w:rsid w:val="00301859"/>
    <w:rsid w:val="0030246E"/>
    <w:rsid w:val="003047ED"/>
    <w:rsid w:val="00305F58"/>
    <w:rsid w:val="00312F71"/>
    <w:rsid w:val="00315A96"/>
    <w:rsid w:val="00315C29"/>
    <w:rsid w:val="00316C57"/>
    <w:rsid w:val="00317027"/>
    <w:rsid w:val="00317C29"/>
    <w:rsid w:val="00320467"/>
    <w:rsid w:val="00321877"/>
    <w:rsid w:val="00321CD0"/>
    <w:rsid w:val="00321FCB"/>
    <w:rsid w:val="00322BFB"/>
    <w:rsid w:val="003248A9"/>
    <w:rsid w:val="00326F1A"/>
    <w:rsid w:val="003278B5"/>
    <w:rsid w:val="003310E2"/>
    <w:rsid w:val="0033135F"/>
    <w:rsid w:val="003313F8"/>
    <w:rsid w:val="003335BD"/>
    <w:rsid w:val="00333A54"/>
    <w:rsid w:val="00333C6A"/>
    <w:rsid w:val="0033451B"/>
    <w:rsid w:val="0033525B"/>
    <w:rsid w:val="003357DC"/>
    <w:rsid w:val="003362D8"/>
    <w:rsid w:val="0033656A"/>
    <w:rsid w:val="00336A53"/>
    <w:rsid w:val="00337392"/>
    <w:rsid w:val="003375C4"/>
    <w:rsid w:val="003378B2"/>
    <w:rsid w:val="00341C6B"/>
    <w:rsid w:val="003422F9"/>
    <w:rsid w:val="0034238A"/>
    <w:rsid w:val="003432AA"/>
    <w:rsid w:val="003438AA"/>
    <w:rsid w:val="003443A0"/>
    <w:rsid w:val="00344766"/>
    <w:rsid w:val="0034584B"/>
    <w:rsid w:val="00347B37"/>
    <w:rsid w:val="00350BE6"/>
    <w:rsid w:val="003524D8"/>
    <w:rsid w:val="0035262E"/>
    <w:rsid w:val="003555DE"/>
    <w:rsid w:val="00356C98"/>
    <w:rsid w:val="00356D0F"/>
    <w:rsid w:val="00357769"/>
    <w:rsid w:val="003605CC"/>
    <w:rsid w:val="003607BC"/>
    <w:rsid w:val="003621E7"/>
    <w:rsid w:val="00362C4B"/>
    <w:rsid w:val="00362D4F"/>
    <w:rsid w:val="00362DAA"/>
    <w:rsid w:val="0036355F"/>
    <w:rsid w:val="00363568"/>
    <w:rsid w:val="00363F1B"/>
    <w:rsid w:val="00364976"/>
    <w:rsid w:val="003653DC"/>
    <w:rsid w:val="0036586D"/>
    <w:rsid w:val="00366614"/>
    <w:rsid w:val="003667B5"/>
    <w:rsid w:val="00370555"/>
    <w:rsid w:val="00371982"/>
    <w:rsid w:val="00371EB0"/>
    <w:rsid w:val="00373733"/>
    <w:rsid w:val="0037400C"/>
    <w:rsid w:val="00374163"/>
    <w:rsid w:val="0037638A"/>
    <w:rsid w:val="003772F7"/>
    <w:rsid w:val="003805B7"/>
    <w:rsid w:val="00380F36"/>
    <w:rsid w:val="00381028"/>
    <w:rsid w:val="00381EBA"/>
    <w:rsid w:val="0038206F"/>
    <w:rsid w:val="00382CF0"/>
    <w:rsid w:val="00384CFF"/>
    <w:rsid w:val="00385034"/>
    <w:rsid w:val="0038513E"/>
    <w:rsid w:val="0038522E"/>
    <w:rsid w:val="003856CD"/>
    <w:rsid w:val="00386581"/>
    <w:rsid w:val="00386A9B"/>
    <w:rsid w:val="00386D49"/>
    <w:rsid w:val="003875A6"/>
    <w:rsid w:val="00390854"/>
    <w:rsid w:val="00390E20"/>
    <w:rsid w:val="00391385"/>
    <w:rsid w:val="003915FB"/>
    <w:rsid w:val="00392F2A"/>
    <w:rsid w:val="00393009"/>
    <w:rsid w:val="00393538"/>
    <w:rsid w:val="00393E9A"/>
    <w:rsid w:val="00393F1C"/>
    <w:rsid w:val="00394367"/>
    <w:rsid w:val="00394ABB"/>
    <w:rsid w:val="00395427"/>
    <w:rsid w:val="00397245"/>
    <w:rsid w:val="00397530"/>
    <w:rsid w:val="003975A4"/>
    <w:rsid w:val="00397FF1"/>
    <w:rsid w:val="003A0AB2"/>
    <w:rsid w:val="003A0F17"/>
    <w:rsid w:val="003A194D"/>
    <w:rsid w:val="003A1C19"/>
    <w:rsid w:val="003A2862"/>
    <w:rsid w:val="003A461E"/>
    <w:rsid w:val="003A4EBE"/>
    <w:rsid w:val="003A56E9"/>
    <w:rsid w:val="003A5BCC"/>
    <w:rsid w:val="003A5F79"/>
    <w:rsid w:val="003A6B2C"/>
    <w:rsid w:val="003A7209"/>
    <w:rsid w:val="003A79C8"/>
    <w:rsid w:val="003A7A7E"/>
    <w:rsid w:val="003B0B98"/>
    <w:rsid w:val="003B0EB6"/>
    <w:rsid w:val="003B211F"/>
    <w:rsid w:val="003B217E"/>
    <w:rsid w:val="003B2337"/>
    <w:rsid w:val="003B2AE8"/>
    <w:rsid w:val="003B522C"/>
    <w:rsid w:val="003B5651"/>
    <w:rsid w:val="003B5BAC"/>
    <w:rsid w:val="003B60AD"/>
    <w:rsid w:val="003B71E6"/>
    <w:rsid w:val="003B7753"/>
    <w:rsid w:val="003B7B67"/>
    <w:rsid w:val="003C0F3E"/>
    <w:rsid w:val="003C145E"/>
    <w:rsid w:val="003C1B49"/>
    <w:rsid w:val="003C2B7F"/>
    <w:rsid w:val="003C2D58"/>
    <w:rsid w:val="003C36AF"/>
    <w:rsid w:val="003C36EA"/>
    <w:rsid w:val="003C5CB5"/>
    <w:rsid w:val="003C60D4"/>
    <w:rsid w:val="003C6B5D"/>
    <w:rsid w:val="003C78B2"/>
    <w:rsid w:val="003C7DC0"/>
    <w:rsid w:val="003C7E5E"/>
    <w:rsid w:val="003D04AD"/>
    <w:rsid w:val="003D1730"/>
    <w:rsid w:val="003D28EC"/>
    <w:rsid w:val="003D389A"/>
    <w:rsid w:val="003D4204"/>
    <w:rsid w:val="003D60B9"/>
    <w:rsid w:val="003D6453"/>
    <w:rsid w:val="003D73C2"/>
    <w:rsid w:val="003D7907"/>
    <w:rsid w:val="003E0819"/>
    <w:rsid w:val="003E14BB"/>
    <w:rsid w:val="003E1650"/>
    <w:rsid w:val="003E1B85"/>
    <w:rsid w:val="003E724A"/>
    <w:rsid w:val="003F0624"/>
    <w:rsid w:val="003F1091"/>
    <w:rsid w:val="003F1FC8"/>
    <w:rsid w:val="003F36F7"/>
    <w:rsid w:val="003F492E"/>
    <w:rsid w:val="003F5887"/>
    <w:rsid w:val="003F648B"/>
    <w:rsid w:val="003F6DAA"/>
    <w:rsid w:val="003F711F"/>
    <w:rsid w:val="004006F2"/>
    <w:rsid w:val="00401133"/>
    <w:rsid w:val="00402014"/>
    <w:rsid w:val="004026F4"/>
    <w:rsid w:val="00402853"/>
    <w:rsid w:val="00403107"/>
    <w:rsid w:val="0040327B"/>
    <w:rsid w:val="00404177"/>
    <w:rsid w:val="004047E6"/>
    <w:rsid w:val="004061D4"/>
    <w:rsid w:val="00406502"/>
    <w:rsid w:val="00406A2D"/>
    <w:rsid w:val="00410190"/>
    <w:rsid w:val="0041081B"/>
    <w:rsid w:val="00410B83"/>
    <w:rsid w:val="00411461"/>
    <w:rsid w:val="00412CD0"/>
    <w:rsid w:val="00414E7A"/>
    <w:rsid w:val="00415256"/>
    <w:rsid w:val="00415D87"/>
    <w:rsid w:val="004169BC"/>
    <w:rsid w:val="00416DE0"/>
    <w:rsid w:val="0041793F"/>
    <w:rsid w:val="00417B08"/>
    <w:rsid w:val="00417EF2"/>
    <w:rsid w:val="004222CB"/>
    <w:rsid w:val="004225EA"/>
    <w:rsid w:val="004226A9"/>
    <w:rsid w:val="00423030"/>
    <w:rsid w:val="00423CFD"/>
    <w:rsid w:val="00424B25"/>
    <w:rsid w:val="0042591A"/>
    <w:rsid w:val="00426859"/>
    <w:rsid w:val="00427415"/>
    <w:rsid w:val="004318E8"/>
    <w:rsid w:val="00432495"/>
    <w:rsid w:val="004326DF"/>
    <w:rsid w:val="004332A3"/>
    <w:rsid w:val="004342E7"/>
    <w:rsid w:val="00435329"/>
    <w:rsid w:val="00437C60"/>
    <w:rsid w:val="00441334"/>
    <w:rsid w:val="00441E38"/>
    <w:rsid w:val="00442B73"/>
    <w:rsid w:val="004433C7"/>
    <w:rsid w:val="0044406C"/>
    <w:rsid w:val="00444166"/>
    <w:rsid w:val="0044584A"/>
    <w:rsid w:val="004458C0"/>
    <w:rsid w:val="0044619F"/>
    <w:rsid w:val="00446F44"/>
    <w:rsid w:val="0044702B"/>
    <w:rsid w:val="00450542"/>
    <w:rsid w:val="00450603"/>
    <w:rsid w:val="00451690"/>
    <w:rsid w:val="0045186E"/>
    <w:rsid w:val="004526C5"/>
    <w:rsid w:val="00453191"/>
    <w:rsid w:val="00453FA7"/>
    <w:rsid w:val="00454269"/>
    <w:rsid w:val="00454BE8"/>
    <w:rsid w:val="0045534A"/>
    <w:rsid w:val="004564A3"/>
    <w:rsid w:val="004579F3"/>
    <w:rsid w:val="00460F37"/>
    <w:rsid w:val="00461776"/>
    <w:rsid w:val="00461F1A"/>
    <w:rsid w:val="004635A4"/>
    <w:rsid w:val="004637D3"/>
    <w:rsid w:val="004642CB"/>
    <w:rsid w:val="0046510E"/>
    <w:rsid w:val="0046759F"/>
    <w:rsid w:val="004708AD"/>
    <w:rsid w:val="00471508"/>
    <w:rsid w:val="0047169A"/>
    <w:rsid w:val="00471C05"/>
    <w:rsid w:val="00471C95"/>
    <w:rsid w:val="00475A53"/>
    <w:rsid w:val="00476200"/>
    <w:rsid w:val="00477FEF"/>
    <w:rsid w:val="00480789"/>
    <w:rsid w:val="004807C6"/>
    <w:rsid w:val="004815E0"/>
    <w:rsid w:val="00481C2E"/>
    <w:rsid w:val="004858E6"/>
    <w:rsid w:val="00485A40"/>
    <w:rsid w:val="0048781B"/>
    <w:rsid w:val="0049159B"/>
    <w:rsid w:val="00491993"/>
    <w:rsid w:val="00493427"/>
    <w:rsid w:val="0049350D"/>
    <w:rsid w:val="004945D2"/>
    <w:rsid w:val="00494991"/>
    <w:rsid w:val="00495098"/>
    <w:rsid w:val="004957DF"/>
    <w:rsid w:val="004957E7"/>
    <w:rsid w:val="00496D0A"/>
    <w:rsid w:val="004A004B"/>
    <w:rsid w:val="004A1D12"/>
    <w:rsid w:val="004A1EDF"/>
    <w:rsid w:val="004A320A"/>
    <w:rsid w:val="004A4631"/>
    <w:rsid w:val="004A4B86"/>
    <w:rsid w:val="004A6439"/>
    <w:rsid w:val="004A6447"/>
    <w:rsid w:val="004A645B"/>
    <w:rsid w:val="004A6B6F"/>
    <w:rsid w:val="004A6C2C"/>
    <w:rsid w:val="004A6F85"/>
    <w:rsid w:val="004A738D"/>
    <w:rsid w:val="004A760C"/>
    <w:rsid w:val="004A77FF"/>
    <w:rsid w:val="004A7922"/>
    <w:rsid w:val="004A7AFA"/>
    <w:rsid w:val="004B26CB"/>
    <w:rsid w:val="004B2ACE"/>
    <w:rsid w:val="004B3928"/>
    <w:rsid w:val="004B3C3C"/>
    <w:rsid w:val="004B4454"/>
    <w:rsid w:val="004B46EB"/>
    <w:rsid w:val="004B4BA2"/>
    <w:rsid w:val="004B5215"/>
    <w:rsid w:val="004B6110"/>
    <w:rsid w:val="004B6B36"/>
    <w:rsid w:val="004B73FA"/>
    <w:rsid w:val="004B7497"/>
    <w:rsid w:val="004C0364"/>
    <w:rsid w:val="004C06A1"/>
    <w:rsid w:val="004C0E27"/>
    <w:rsid w:val="004C14FE"/>
    <w:rsid w:val="004C308C"/>
    <w:rsid w:val="004C31B7"/>
    <w:rsid w:val="004C5354"/>
    <w:rsid w:val="004C5DFF"/>
    <w:rsid w:val="004C61A3"/>
    <w:rsid w:val="004D00F2"/>
    <w:rsid w:val="004D0132"/>
    <w:rsid w:val="004D0978"/>
    <w:rsid w:val="004D146C"/>
    <w:rsid w:val="004D15FA"/>
    <w:rsid w:val="004D1806"/>
    <w:rsid w:val="004D18B0"/>
    <w:rsid w:val="004D22BA"/>
    <w:rsid w:val="004D2449"/>
    <w:rsid w:val="004D24E1"/>
    <w:rsid w:val="004D3A17"/>
    <w:rsid w:val="004D3A34"/>
    <w:rsid w:val="004D596C"/>
    <w:rsid w:val="004D66E3"/>
    <w:rsid w:val="004D6D01"/>
    <w:rsid w:val="004D7954"/>
    <w:rsid w:val="004E22F3"/>
    <w:rsid w:val="004E268D"/>
    <w:rsid w:val="004E2E63"/>
    <w:rsid w:val="004E2EF1"/>
    <w:rsid w:val="004E3110"/>
    <w:rsid w:val="004E3446"/>
    <w:rsid w:val="004E37DE"/>
    <w:rsid w:val="004E390F"/>
    <w:rsid w:val="004E453C"/>
    <w:rsid w:val="004E48E3"/>
    <w:rsid w:val="004E509E"/>
    <w:rsid w:val="004E62BD"/>
    <w:rsid w:val="004F0B58"/>
    <w:rsid w:val="004F0C7B"/>
    <w:rsid w:val="004F19A8"/>
    <w:rsid w:val="004F2DED"/>
    <w:rsid w:val="004F3ACA"/>
    <w:rsid w:val="004F71B4"/>
    <w:rsid w:val="004F73E6"/>
    <w:rsid w:val="00501064"/>
    <w:rsid w:val="00501AD5"/>
    <w:rsid w:val="005020C0"/>
    <w:rsid w:val="00502586"/>
    <w:rsid w:val="00504394"/>
    <w:rsid w:val="00507502"/>
    <w:rsid w:val="005105A4"/>
    <w:rsid w:val="00512219"/>
    <w:rsid w:val="0051321A"/>
    <w:rsid w:val="00513C7A"/>
    <w:rsid w:val="00516EF1"/>
    <w:rsid w:val="0051713D"/>
    <w:rsid w:val="005173B4"/>
    <w:rsid w:val="00517F87"/>
    <w:rsid w:val="00520112"/>
    <w:rsid w:val="005203B9"/>
    <w:rsid w:val="00520460"/>
    <w:rsid w:val="00520D20"/>
    <w:rsid w:val="00521093"/>
    <w:rsid w:val="00521A3D"/>
    <w:rsid w:val="0052248C"/>
    <w:rsid w:val="00523664"/>
    <w:rsid w:val="005239A4"/>
    <w:rsid w:val="00523E31"/>
    <w:rsid w:val="005243E7"/>
    <w:rsid w:val="0052463C"/>
    <w:rsid w:val="00526B50"/>
    <w:rsid w:val="00526C81"/>
    <w:rsid w:val="00527007"/>
    <w:rsid w:val="00527465"/>
    <w:rsid w:val="005276B7"/>
    <w:rsid w:val="0053398F"/>
    <w:rsid w:val="00534984"/>
    <w:rsid w:val="00536C0D"/>
    <w:rsid w:val="0053760C"/>
    <w:rsid w:val="00537F5A"/>
    <w:rsid w:val="005408D0"/>
    <w:rsid w:val="00541ACC"/>
    <w:rsid w:val="005444AB"/>
    <w:rsid w:val="0054745E"/>
    <w:rsid w:val="00547C4E"/>
    <w:rsid w:val="005500B9"/>
    <w:rsid w:val="00550108"/>
    <w:rsid w:val="005506F8"/>
    <w:rsid w:val="005517B7"/>
    <w:rsid w:val="00551918"/>
    <w:rsid w:val="00552C12"/>
    <w:rsid w:val="00552DAC"/>
    <w:rsid w:val="00553267"/>
    <w:rsid w:val="00554806"/>
    <w:rsid w:val="00555CD6"/>
    <w:rsid w:val="00556803"/>
    <w:rsid w:val="00557AB6"/>
    <w:rsid w:val="005611C6"/>
    <w:rsid w:val="005618AA"/>
    <w:rsid w:val="00561DE5"/>
    <w:rsid w:val="00562C8E"/>
    <w:rsid w:val="00563C3D"/>
    <w:rsid w:val="0056499A"/>
    <w:rsid w:val="00564C45"/>
    <w:rsid w:val="00566F38"/>
    <w:rsid w:val="00567140"/>
    <w:rsid w:val="005678D5"/>
    <w:rsid w:val="00567AA9"/>
    <w:rsid w:val="00567C7D"/>
    <w:rsid w:val="00570769"/>
    <w:rsid w:val="005720E0"/>
    <w:rsid w:val="00572177"/>
    <w:rsid w:val="00572809"/>
    <w:rsid w:val="00572902"/>
    <w:rsid w:val="0057368B"/>
    <w:rsid w:val="005744F1"/>
    <w:rsid w:val="00574CE4"/>
    <w:rsid w:val="005762D3"/>
    <w:rsid w:val="00576AFA"/>
    <w:rsid w:val="00577A3E"/>
    <w:rsid w:val="00577E7B"/>
    <w:rsid w:val="005818D7"/>
    <w:rsid w:val="00582AB2"/>
    <w:rsid w:val="00582B7A"/>
    <w:rsid w:val="00582B7C"/>
    <w:rsid w:val="005838AA"/>
    <w:rsid w:val="0058392E"/>
    <w:rsid w:val="0058409E"/>
    <w:rsid w:val="005842FE"/>
    <w:rsid w:val="00584C7B"/>
    <w:rsid w:val="00587C8D"/>
    <w:rsid w:val="005927A6"/>
    <w:rsid w:val="0059433B"/>
    <w:rsid w:val="00594633"/>
    <w:rsid w:val="00594808"/>
    <w:rsid w:val="0059500B"/>
    <w:rsid w:val="00595204"/>
    <w:rsid w:val="00595C09"/>
    <w:rsid w:val="00596B7E"/>
    <w:rsid w:val="005A053A"/>
    <w:rsid w:val="005A06D8"/>
    <w:rsid w:val="005A1F0C"/>
    <w:rsid w:val="005A423D"/>
    <w:rsid w:val="005A4C97"/>
    <w:rsid w:val="005A5DFF"/>
    <w:rsid w:val="005A6297"/>
    <w:rsid w:val="005A72A0"/>
    <w:rsid w:val="005B02DF"/>
    <w:rsid w:val="005B0AB1"/>
    <w:rsid w:val="005B0D60"/>
    <w:rsid w:val="005B39FD"/>
    <w:rsid w:val="005B4ADB"/>
    <w:rsid w:val="005B544A"/>
    <w:rsid w:val="005B6041"/>
    <w:rsid w:val="005B61FA"/>
    <w:rsid w:val="005B64F4"/>
    <w:rsid w:val="005B78D6"/>
    <w:rsid w:val="005B7A60"/>
    <w:rsid w:val="005C244E"/>
    <w:rsid w:val="005C3473"/>
    <w:rsid w:val="005C3B53"/>
    <w:rsid w:val="005C5737"/>
    <w:rsid w:val="005C5EEB"/>
    <w:rsid w:val="005C690D"/>
    <w:rsid w:val="005C7243"/>
    <w:rsid w:val="005D0E1C"/>
    <w:rsid w:val="005D1191"/>
    <w:rsid w:val="005D188B"/>
    <w:rsid w:val="005D18CA"/>
    <w:rsid w:val="005D1D4B"/>
    <w:rsid w:val="005D21B8"/>
    <w:rsid w:val="005D3363"/>
    <w:rsid w:val="005D3A16"/>
    <w:rsid w:val="005D3DD6"/>
    <w:rsid w:val="005D4B3A"/>
    <w:rsid w:val="005D5C86"/>
    <w:rsid w:val="005D5F24"/>
    <w:rsid w:val="005D634E"/>
    <w:rsid w:val="005D7169"/>
    <w:rsid w:val="005D742E"/>
    <w:rsid w:val="005E067E"/>
    <w:rsid w:val="005E0FF5"/>
    <w:rsid w:val="005E10B3"/>
    <w:rsid w:val="005E2193"/>
    <w:rsid w:val="005E275D"/>
    <w:rsid w:val="005E28FF"/>
    <w:rsid w:val="005E412B"/>
    <w:rsid w:val="005E4760"/>
    <w:rsid w:val="005E4A1C"/>
    <w:rsid w:val="005E4B90"/>
    <w:rsid w:val="005E53A9"/>
    <w:rsid w:val="005E6F69"/>
    <w:rsid w:val="005E7B5F"/>
    <w:rsid w:val="005E7C36"/>
    <w:rsid w:val="005F1192"/>
    <w:rsid w:val="005F1893"/>
    <w:rsid w:val="005F3536"/>
    <w:rsid w:val="005F36A7"/>
    <w:rsid w:val="005F3914"/>
    <w:rsid w:val="005F3A56"/>
    <w:rsid w:val="005F4B2D"/>
    <w:rsid w:val="005F5B9D"/>
    <w:rsid w:val="005F72BC"/>
    <w:rsid w:val="005F7E5F"/>
    <w:rsid w:val="00601414"/>
    <w:rsid w:val="00602F0C"/>
    <w:rsid w:val="0060430E"/>
    <w:rsid w:val="006053D6"/>
    <w:rsid w:val="00605572"/>
    <w:rsid w:val="006069F0"/>
    <w:rsid w:val="0060744E"/>
    <w:rsid w:val="00611D82"/>
    <w:rsid w:val="006146A6"/>
    <w:rsid w:val="00614B28"/>
    <w:rsid w:val="006161A8"/>
    <w:rsid w:val="00616202"/>
    <w:rsid w:val="00616ABD"/>
    <w:rsid w:val="00616C72"/>
    <w:rsid w:val="00617B59"/>
    <w:rsid w:val="006201AA"/>
    <w:rsid w:val="00621E43"/>
    <w:rsid w:val="00621F6F"/>
    <w:rsid w:val="00622445"/>
    <w:rsid w:val="006228C2"/>
    <w:rsid w:val="00623273"/>
    <w:rsid w:val="0062341E"/>
    <w:rsid w:val="00624384"/>
    <w:rsid w:val="006248ED"/>
    <w:rsid w:val="00626C2D"/>
    <w:rsid w:val="00627706"/>
    <w:rsid w:val="0063012E"/>
    <w:rsid w:val="0063033C"/>
    <w:rsid w:val="0063056D"/>
    <w:rsid w:val="0063138C"/>
    <w:rsid w:val="00631494"/>
    <w:rsid w:val="00631ECC"/>
    <w:rsid w:val="00632A04"/>
    <w:rsid w:val="00633A0E"/>
    <w:rsid w:val="00635021"/>
    <w:rsid w:val="00635ACD"/>
    <w:rsid w:val="00635CCD"/>
    <w:rsid w:val="00636847"/>
    <w:rsid w:val="006369DE"/>
    <w:rsid w:val="006374CA"/>
    <w:rsid w:val="00640243"/>
    <w:rsid w:val="00642CD4"/>
    <w:rsid w:val="00643B59"/>
    <w:rsid w:val="006455FF"/>
    <w:rsid w:val="0064625F"/>
    <w:rsid w:val="00646591"/>
    <w:rsid w:val="00646B52"/>
    <w:rsid w:val="00647F47"/>
    <w:rsid w:val="0065080E"/>
    <w:rsid w:val="006512FC"/>
    <w:rsid w:val="00651DF1"/>
    <w:rsid w:val="00653578"/>
    <w:rsid w:val="006539CC"/>
    <w:rsid w:val="006543D3"/>
    <w:rsid w:val="00655AF6"/>
    <w:rsid w:val="00656B10"/>
    <w:rsid w:val="006601DB"/>
    <w:rsid w:val="00662883"/>
    <w:rsid w:val="00662979"/>
    <w:rsid w:val="0066559E"/>
    <w:rsid w:val="006655E7"/>
    <w:rsid w:val="00665EB7"/>
    <w:rsid w:val="00666D03"/>
    <w:rsid w:val="00667040"/>
    <w:rsid w:val="00667A5C"/>
    <w:rsid w:val="006712D5"/>
    <w:rsid w:val="00672A64"/>
    <w:rsid w:val="006738B4"/>
    <w:rsid w:val="00673CAB"/>
    <w:rsid w:val="00674A89"/>
    <w:rsid w:val="00675AB5"/>
    <w:rsid w:val="00676809"/>
    <w:rsid w:val="00677304"/>
    <w:rsid w:val="00680A6A"/>
    <w:rsid w:val="00680F99"/>
    <w:rsid w:val="006814FF"/>
    <w:rsid w:val="00681E95"/>
    <w:rsid w:val="00682604"/>
    <w:rsid w:val="006845BE"/>
    <w:rsid w:val="00684A32"/>
    <w:rsid w:val="00686F74"/>
    <w:rsid w:val="0069127B"/>
    <w:rsid w:val="00691D8A"/>
    <w:rsid w:val="00692D0F"/>
    <w:rsid w:val="00694269"/>
    <w:rsid w:val="00696120"/>
    <w:rsid w:val="00696E7B"/>
    <w:rsid w:val="00697862"/>
    <w:rsid w:val="00697C31"/>
    <w:rsid w:val="00697C53"/>
    <w:rsid w:val="006A048F"/>
    <w:rsid w:val="006A14E0"/>
    <w:rsid w:val="006A1E95"/>
    <w:rsid w:val="006A3055"/>
    <w:rsid w:val="006A41C8"/>
    <w:rsid w:val="006A5041"/>
    <w:rsid w:val="006A52A0"/>
    <w:rsid w:val="006A558A"/>
    <w:rsid w:val="006A6B41"/>
    <w:rsid w:val="006A6D95"/>
    <w:rsid w:val="006A6EBF"/>
    <w:rsid w:val="006A7A96"/>
    <w:rsid w:val="006A7E8B"/>
    <w:rsid w:val="006B10A8"/>
    <w:rsid w:val="006B1546"/>
    <w:rsid w:val="006B290F"/>
    <w:rsid w:val="006B2F1C"/>
    <w:rsid w:val="006B32BB"/>
    <w:rsid w:val="006B35BB"/>
    <w:rsid w:val="006B53BD"/>
    <w:rsid w:val="006B57C8"/>
    <w:rsid w:val="006B5D58"/>
    <w:rsid w:val="006B5D73"/>
    <w:rsid w:val="006B5E94"/>
    <w:rsid w:val="006B76C2"/>
    <w:rsid w:val="006C0583"/>
    <w:rsid w:val="006C07C6"/>
    <w:rsid w:val="006C1C71"/>
    <w:rsid w:val="006C4653"/>
    <w:rsid w:val="006C49E9"/>
    <w:rsid w:val="006C4DD2"/>
    <w:rsid w:val="006C5725"/>
    <w:rsid w:val="006C57C6"/>
    <w:rsid w:val="006C5D6C"/>
    <w:rsid w:val="006C6710"/>
    <w:rsid w:val="006C781E"/>
    <w:rsid w:val="006D028D"/>
    <w:rsid w:val="006D0F7F"/>
    <w:rsid w:val="006D105D"/>
    <w:rsid w:val="006D1E4B"/>
    <w:rsid w:val="006D23FC"/>
    <w:rsid w:val="006D67AB"/>
    <w:rsid w:val="006D6D34"/>
    <w:rsid w:val="006D7225"/>
    <w:rsid w:val="006D7A62"/>
    <w:rsid w:val="006E0A1D"/>
    <w:rsid w:val="006E1D95"/>
    <w:rsid w:val="006E29D6"/>
    <w:rsid w:val="006E372C"/>
    <w:rsid w:val="006E4656"/>
    <w:rsid w:val="006E57B9"/>
    <w:rsid w:val="006E5F92"/>
    <w:rsid w:val="006E61E7"/>
    <w:rsid w:val="006E67AE"/>
    <w:rsid w:val="006E70C3"/>
    <w:rsid w:val="006E7BE7"/>
    <w:rsid w:val="006E7D9E"/>
    <w:rsid w:val="006F023B"/>
    <w:rsid w:val="006F0C95"/>
    <w:rsid w:val="006F1C86"/>
    <w:rsid w:val="006F28A7"/>
    <w:rsid w:val="006F29AE"/>
    <w:rsid w:val="006F36FC"/>
    <w:rsid w:val="006F3AB1"/>
    <w:rsid w:val="006F4504"/>
    <w:rsid w:val="006F6F27"/>
    <w:rsid w:val="006F7111"/>
    <w:rsid w:val="006F7593"/>
    <w:rsid w:val="00700F53"/>
    <w:rsid w:val="00701ECE"/>
    <w:rsid w:val="00702C62"/>
    <w:rsid w:val="007039C7"/>
    <w:rsid w:val="00703C7C"/>
    <w:rsid w:val="007042FC"/>
    <w:rsid w:val="00704B77"/>
    <w:rsid w:val="007058D8"/>
    <w:rsid w:val="00705B60"/>
    <w:rsid w:val="00706A72"/>
    <w:rsid w:val="00707F78"/>
    <w:rsid w:val="00710D6D"/>
    <w:rsid w:val="00710E36"/>
    <w:rsid w:val="00712655"/>
    <w:rsid w:val="00714732"/>
    <w:rsid w:val="00714AA8"/>
    <w:rsid w:val="00715740"/>
    <w:rsid w:val="00717AEE"/>
    <w:rsid w:val="00717E43"/>
    <w:rsid w:val="0072037A"/>
    <w:rsid w:val="0072218B"/>
    <w:rsid w:val="00724946"/>
    <w:rsid w:val="00725527"/>
    <w:rsid w:val="00725C69"/>
    <w:rsid w:val="00725DEE"/>
    <w:rsid w:val="00727478"/>
    <w:rsid w:val="0073101B"/>
    <w:rsid w:val="00731671"/>
    <w:rsid w:val="00731B0C"/>
    <w:rsid w:val="00731E5A"/>
    <w:rsid w:val="00731EF6"/>
    <w:rsid w:val="00733522"/>
    <w:rsid w:val="0073423C"/>
    <w:rsid w:val="00735621"/>
    <w:rsid w:val="0073693F"/>
    <w:rsid w:val="0074087D"/>
    <w:rsid w:val="007408B9"/>
    <w:rsid w:val="0074137A"/>
    <w:rsid w:val="00741589"/>
    <w:rsid w:val="007421F2"/>
    <w:rsid w:val="00742324"/>
    <w:rsid w:val="0074370D"/>
    <w:rsid w:val="00743FA2"/>
    <w:rsid w:val="00744BDE"/>
    <w:rsid w:val="007452E2"/>
    <w:rsid w:val="00745CE9"/>
    <w:rsid w:val="00746115"/>
    <w:rsid w:val="007464E0"/>
    <w:rsid w:val="0074654F"/>
    <w:rsid w:val="0075062F"/>
    <w:rsid w:val="00750A9C"/>
    <w:rsid w:val="00750EB9"/>
    <w:rsid w:val="00750FE4"/>
    <w:rsid w:val="00754437"/>
    <w:rsid w:val="007550D8"/>
    <w:rsid w:val="00756CFF"/>
    <w:rsid w:val="00760D92"/>
    <w:rsid w:val="007613BE"/>
    <w:rsid w:val="007618BA"/>
    <w:rsid w:val="007626D1"/>
    <w:rsid w:val="00764214"/>
    <w:rsid w:val="007645D5"/>
    <w:rsid w:val="00765527"/>
    <w:rsid w:val="0076580D"/>
    <w:rsid w:val="007659EB"/>
    <w:rsid w:val="00766705"/>
    <w:rsid w:val="00767961"/>
    <w:rsid w:val="00767BA9"/>
    <w:rsid w:val="007720B7"/>
    <w:rsid w:val="00773B3B"/>
    <w:rsid w:val="007742B6"/>
    <w:rsid w:val="00775546"/>
    <w:rsid w:val="00775A24"/>
    <w:rsid w:val="00775B2C"/>
    <w:rsid w:val="00775C47"/>
    <w:rsid w:val="007762D0"/>
    <w:rsid w:val="00776B51"/>
    <w:rsid w:val="00777FAC"/>
    <w:rsid w:val="00780043"/>
    <w:rsid w:val="007802C6"/>
    <w:rsid w:val="007807CC"/>
    <w:rsid w:val="007809B7"/>
    <w:rsid w:val="00780E3D"/>
    <w:rsid w:val="00782132"/>
    <w:rsid w:val="00783693"/>
    <w:rsid w:val="00784ACB"/>
    <w:rsid w:val="00784E2D"/>
    <w:rsid w:val="00785256"/>
    <w:rsid w:val="0078538F"/>
    <w:rsid w:val="00785408"/>
    <w:rsid w:val="00785E81"/>
    <w:rsid w:val="00786C3A"/>
    <w:rsid w:val="007901C6"/>
    <w:rsid w:val="00791651"/>
    <w:rsid w:val="00791CBF"/>
    <w:rsid w:val="00792E27"/>
    <w:rsid w:val="00793326"/>
    <w:rsid w:val="007950B6"/>
    <w:rsid w:val="00795B1C"/>
    <w:rsid w:val="00797925"/>
    <w:rsid w:val="007979FA"/>
    <w:rsid w:val="007A04E4"/>
    <w:rsid w:val="007A0928"/>
    <w:rsid w:val="007A1ACF"/>
    <w:rsid w:val="007A3226"/>
    <w:rsid w:val="007A3755"/>
    <w:rsid w:val="007A3BF2"/>
    <w:rsid w:val="007A3CF5"/>
    <w:rsid w:val="007A3DF4"/>
    <w:rsid w:val="007A40FF"/>
    <w:rsid w:val="007A44F0"/>
    <w:rsid w:val="007A59CF"/>
    <w:rsid w:val="007A5ACC"/>
    <w:rsid w:val="007A61EB"/>
    <w:rsid w:val="007A6257"/>
    <w:rsid w:val="007A6A81"/>
    <w:rsid w:val="007B01B7"/>
    <w:rsid w:val="007B04D5"/>
    <w:rsid w:val="007B09A8"/>
    <w:rsid w:val="007B0CDC"/>
    <w:rsid w:val="007B10CC"/>
    <w:rsid w:val="007B160B"/>
    <w:rsid w:val="007B340E"/>
    <w:rsid w:val="007B4195"/>
    <w:rsid w:val="007B4506"/>
    <w:rsid w:val="007B72C4"/>
    <w:rsid w:val="007C15DF"/>
    <w:rsid w:val="007C2D48"/>
    <w:rsid w:val="007C2F40"/>
    <w:rsid w:val="007C30C7"/>
    <w:rsid w:val="007C3BA8"/>
    <w:rsid w:val="007C4E40"/>
    <w:rsid w:val="007C524B"/>
    <w:rsid w:val="007C69DA"/>
    <w:rsid w:val="007C6A79"/>
    <w:rsid w:val="007C76B1"/>
    <w:rsid w:val="007C7CA7"/>
    <w:rsid w:val="007D2302"/>
    <w:rsid w:val="007D23E2"/>
    <w:rsid w:val="007D2723"/>
    <w:rsid w:val="007D34B8"/>
    <w:rsid w:val="007D3EB4"/>
    <w:rsid w:val="007D4740"/>
    <w:rsid w:val="007D5544"/>
    <w:rsid w:val="007D5AF2"/>
    <w:rsid w:val="007D64F8"/>
    <w:rsid w:val="007D76AF"/>
    <w:rsid w:val="007E0437"/>
    <w:rsid w:val="007E1DB0"/>
    <w:rsid w:val="007E3D43"/>
    <w:rsid w:val="007E3FCF"/>
    <w:rsid w:val="007E490E"/>
    <w:rsid w:val="007E6A3B"/>
    <w:rsid w:val="007E72CF"/>
    <w:rsid w:val="007E7855"/>
    <w:rsid w:val="007E79A9"/>
    <w:rsid w:val="007E7DDD"/>
    <w:rsid w:val="007F0946"/>
    <w:rsid w:val="007F18B9"/>
    <w:rsid w:val="007F2068"/>
    <w:rsid w:val="007F2524"/>
    <w:rsid w:val="007F5468"/>
    <w:rsid w:val="007F5854"/>
    <w:rsid w:val="007F5B39"/>
    <w:rsid w:val="007F678F"/>
    <w:rsid w:val="007F6E9C"/>
    <w:rsid w:val="007F73B0"/>
    <w:rsid w:val="007F7E33"/>
    <w:rsid w:val="00800473"/>
    <w:rsid w:val="008014E6"/>
    <w:rsid w:val="008017D4"/>
    <w:rsid w:val="00802017"/>
    <w:rsid w:val="00803FD0"/>
    <w:rsid w:val="008047F3"/>
    <w:rsid w:val="008051CD"/>
    <w:rsid w:val="0080532D"/>
    <w:rsid w:val="008059E6"/>
    <w:rsid w:val="00807F42"/>
    <w:rsid w:val="00811D4F"/>
    <w:rsid w:val="00812A7D"/>
    <w:rsid w:val="00812E12"/>
    <w:rsid w:val="008143D1"/>
    <w:rsid w:val="008157FB"/>
    <w:rsid w:val="008161A0"/>
    <w:rsid w:val="00817599"/>
    <w:rsid w:val="00821CFB"/>
    <w:rsid w:val="00822416"/>
    <w:rsid w:val="00823D91"/>
    <w:rsid w:val="00827596"/>
    <w:rsid w:val="0082759B"/>
    <w:rsid w:val="008276F2"/>
    <w:rsid w:val="00832CAD"/>
    <w:rsid w:val="00833A91"/>
    <w:rsid w:val="00835214"/>
    <w:rsid w:val="00836472"/>
    <w:rsid w:val="00836AE3"/>
    <w:rsid w:val="00836D85"/>
    <w:rsid w:val="00837173"/>
    <w:rsid w:val="00840025"/>
    <w:rsid w:val="008400B4"/>
    <w:rsid w:val="008404DD"/>
    <w:rsid w:val="00841D8D"/>
    <w:rsid w:val="00842582"/>
    <w:rsid w:val="008428E6"/>
    <w:rsid w:val="00844BE8"/>
    <w:rsid w:val="00845037"/>
    <w:rsid w:val="00845153"/>
    <w:rsid w:val="00845C27"/>
    <w:rsid w:val="00846FE8"/>
    <w:rsid w:val="008501B2"/>
    <w:rsid w:val="00850E9D"/>
    <w:rsid w:val="00853AC1"/>
    <w:rsid w:val="00854292"/>
    <w:rsid w:val="00854F95"/>
    <w:rsid w:val="00856F1A"/>
    <w:rsid w:val="00857499"/>
    <w:rsid w:val="00861F2C"/>
    <w:rsid w:val="00862294"/>
    <w:rsid w:val="00862591"/>
    <w:rsid w:val="00862758"/>
    <w:rsid w:val="00862FA6"/>
    <w:rsid w:val="008633F4"/>
    <w:rsid w:val="0086383E"/>
    <w:rsid w:val="00863B9B"/>
    <w:rsid w:val="00864422"/>
    <w:rsid w:val="008665A7"/>
    <w:rsid w:val="00870A2F"/>
    <w:rsid w:val="00874042"/>
    <w:rsid w:val="00876654"/>
    <w:rsid w:val="008767C8"/>
    <w:rsid w:val="008768D7"/>
    <w:rsid w:val="00876C78"/>
    <w:rsid w:val="00877CBE"/>
    <w:rsid w:val="008804E4"/>
    <w:rsid w:val="00880DC8"/>
    <w:rsid w:val="00881881"/>
    <w:rsid w:val="00882B1F"/>
    <w:rsid w:val="008843CC"/>
    <w:rsid w:val="00884C42"/>
    <w:rsid w:val="00884D4E"/>
    <w:rsid w:val="00886301"/>
    <w:rsid w:val="00886B74"/>
    <w:rsid w:val="008871D6"/>
    <w:rsid w:val="00887D8B"/>
    <w:rsid w:val="00890F8D"/>
    <w:rsid w:val="00892B30"/>
    <w:rsid w:val="00893975"/>
    <w:rsid w:val="00893DDA"/>
    <w:rsid w:val="008940C6"/>
    <w:rsid w:val="008955D7"/>
    <w:rsid w:val="00895BAA"/>
    <w:rsid w:val="00897039"/>
    <w:rsid w:val="008975B9"/>
    <w:rsid w:val="00897A35"/>
    <w:rsid w:val="008A0A31"/>
    <w:rsid w:val="008A17F1"/>
    <w:rsid w:val="008A26CE"/>
    <w:rsid w:val="008A282B"/>
    <w:rsid w:val="008A37BD"/>
    <w:rsid w:val="008A420B"/>
    <w:rsid w:val="008A59FF"/>
    <w:rsid w:val="008A6605"/>
    <w:rsid w:val="008A6F0A"/>
    <w:rsid w:val="008A71B9"/>
    <w:rsid w:val="008B1F8C"/>
    <w:rsid w:val="008B52CA"/>
    <w:rsid w:val="008B5479"/>
    <w:rsid w:val="008B62DD"/>
    <w:rsid w:val="008B69DC"/>
    <w:rsid w:val="008C0EA1"/>
    <w:rsid w:val="008C1C5A"/>
    <w:rsid w:val="008C2344"/>
    <w:rsid w:val="008C23AE"/>
    <w:rsid w:val="008C3571"/>
    <w:rsid w:val="008C4A28"/>
    <w:rsid w:val="008C5ACF"/>
    <w:rsid w:val="008C6485"/>
    <w:rsid w:val="008C68E7"/>
    <w:rsid w:val="008C6CC0"/>
    <w:rsid w:val="008C6EC7"/>
    <w:rsid w:val="008C71A5"/>
    <w:rsid w:val="008C7436"/>
    <w:rsid w:val="008C745B"/>
    <w:rsid w:val="008D0361"/>
    <w:rsid w:val="008D105E"/>
    <w:rsid w:val="008D2461"/>
    <w:rsid w:val="008D33C7"/>
    <w:rsid w:val="008D38CB"/>
    <w:rsid w:val="008D3E4A"/>
    <w:rsid w:val="008D41CC"/>
    <w:rsid w:val="008D575A"/>
    <w:rsid w:val="008D784B"/>
    <w:rsid w:val="008E07FF"/>
    <w:rsid w:val="008E1413"/>
    <w:rsid w:val="008E2814"/>
    <w:rsid w:val="008E2D30"/>
    <w:rsid w:val="008E3BEE"/>
    <w:rsid w:val="008E4A32"/>
    <w:rsid w:val="008E4F84"/>
    <w:rsid w:val="008E5293"/>
    <w:rsid w:val="008E529F"/>
    <w:rsid w:val="008E5424"/>
    <w:rsid w:val="008E5FFB"/>
    <w:rsid w:val="008E6CA7"/>
    <w:rsid w:val="008E73D5"/>
    <w:rsid w:val="008E78E7"/>
    <w:rsid w:val="008F0A56"/>
    <w:rsid w:val="008F105A"/>
    <w:rsid w:val="008F13B6"/>
    <w:rsid w:val="008F1585"/>
    <w:rsid w:val="008F42AE"/>
    <w:rsid w:val="008F6632"/>
    <w:rsid w:val="00900058"/>
    <w:rsid w:val="00900590"/>
    <w:rsid w:val="00900673"/>
    <w:rsid w:val="00901A82"/>
    <w:rsid w:val="00903A8A"/>
    <w:rsid w:val="00903C36"/>
    <w:rsid w:val="00905D01"/>
    <w:rsid w:val="00905EB6"/>
    <w:rsid w:val="00906BF0"/>
    <w:rsid w:val="00907AA3"/>
    <w:rsid w:val="00910198"/>
    <w:rsid w:val="00913E64"/>
    <w:rsid w:val="009157C7"/>
    <w:rsid w:val="00915B5F"/>
    <w:rsid w:val="00915BA0"/>
    <w:rsid w:val="009173F9"/>
    <w:rsid w:val="00920A3A"/>
    <w:rsid w:val="00920E0D"/>
    <w:rsid w:val="0092128D"/>
    <w:rsid w:val="00921BE2"/>
    <w:rsid w:val="009224A7"/>
    <w:rsid w:val="00922758"/>
    <w:rsid w:val="00922EF9"/>
    <w:rsid w:val="00923D90"/>
    <w:rsid w:val="00925554"/>
    <w:rsid w:val="009256F1"/>
    <w:rsid w:val="009273A7"/>
    <w:rsid w:val="00930A1F"/>
    <w:rsid w:val="00931369"/>
    <w:rsid w:val="00931F92"/>
    <w:rsid w:val="00931FE6"/>
    <w:rsid w:val="00932AC2"/>
    <w:rsid w:val="009336F7"/>
    <w:rsid w:val="00933D58"/>
    <w:rsid w:val="00934779"/>
    <w:rsid w:val="009363C8"/>
    <w:rsid w:val="00936911"/>
    <w:rsid w:val="009372D0"/>
    <w:rsid w:val="009412A6"/>
    <w:rsid w:val="0094240B"/>
    <w:rsid w:val="00944B9C"/>
    <w:rsid w:val="00945334"/>
    <w:rsid w:val="00946F04"/>
    <w:rsid w:val="00947470"/>
    <w:rsid w:val="00950028"/>
    <w:rsid w:val="00950F12"/>
    <w:rsid w:val="0095305E"/>
    <w:rsid w:val="0095345F"/>
    <w:rsid w:val="00953BB6"/>
    <w:rsid w:val="009563C3"/>
    <w:rsid w:val="00956545"/>
    <w:rsid w:val="00956E05"/>
    <w:rsid w:val="009573C5"/>
    <w:rsid w:val="00960009"/>
    <w:rsid w:val="00960852"/>
    <w:rsid w:val="00961844"/>
    <w:rsid w:val="00961DA2"/>
    <w:rsid w:val="00962573"/>
    <w:rsid w:val="00962DB6"/>
    <w:rsid w:val="00962E0A"/>
    <w:rsid w:val="00963400"/>
    <w:rsid w:val="00963831"/>
    <w:rsid w:val="00963C49"/>
    <w:rsid w:val="009641A0"/>
    <w:rsid w:val="009661D5"/>
    <w:rsid w:val="00966462"/>
    <w:rsid w:val="009666F6"/>
    <w:rsid w:val="00966BF9"/>
    <w:rsid w:val="00966FB1"/>
    <w:rsid w:val="009674F5"/>
    <w:rsid w:val="0096773B"/>
    <w:rsid w:val="009701E6"/>
    <w:rsid w:val="00971083"/>
    <w:rsid w:val="009710CE"/>
    <w:rsid w:val="009714B8"/>
    <w:rsid w:val="00971834"/>
    <w:rsid w:val="00972162"/>
    <w:rsid w:val="009728B5"/>
    <w:rsid w:val="009732A7"/>
    <w:rsid w:val="00973BE5"/>
    <w:rsid w:val="009740BB"/>
    <w:rsid w:val="009749CB"/>
    <w:rsid w:val="00975429"/>
    <w:rsid w:val="00975E00"/>
    <w:rsid w:val="009764FE"/>
    <w:rsid w:val="009769A1"/>
    <w:rsid w:val="0098079A"/>
    <w:rsid w:val="0098086C"/>
    <w:rsid w:val="00981176"/>
    <w:rsid w:val="00981934"/>
    <w:rsid w:val="00981B35"/>
    <w:rsid w:val="00982BF0"/>
    <w:rsid w:val="009848CF"/>
    <w:rsid w:val="00984CBF"/>
    <w:rsid w:val="0098531A"/>
    <w:rsid w:val="00986FD6"/>
    <w:rsid w:val="00987A5C"/>
    <w:rsid w:val="009918CC"/>
    <w:rsid w:val="00991BCE"/>
    <w:rsid w:val="00991FC4"/>
    <w:rsid w:val="00992614"/>
    <w:rsid w:val="00992C3E"/>
    <w:rsid w:val="00992F1D"/>
    <w:rsid w:val="009930A8"/>
    <w:rsid w:val="0099311B"/>
    <w:rsid w:val="009935A7"/>
    <w:rsid w:val="00994744"/>
    <w:rsid w:val="00994983"/>
    <w:rsid w:val="00994DFC"/>
    <w:rsid w:val="00994F24"/>
    <w:rsid w:val="009952AC"/>
    <w:rsid w:val="00995F0A"/>
    <w:rsid w:val="00996BD2"/>
    <w:rsid w:val="0099716B"/>
    <w:rsid w:val="00997974"/>
    <w:rsid w:val="009A0320"/>
    <w:rsid w:val="009A177C"/>
    <w:rsid w:val="009A1D1B"/>
    <w:rsid w:val="009A23BB"/>
    <w:rsid w:val="009A3345"/>
    <w:rsid w:val="009A368F"/>
    <w:rsid w:val="009A3E5F"/>
    <w:rsid w:val="009A5573"/>
    <w:rsid w:val="009A58DF"/>
    <w:rsid w:val="009A5ED2"/>
    <w:rsid w:val="009A5FB6"/>
    <w:rsid w:val="009A6107"/>
    <w:rsid w:val="009A7460"/>
    <w:rsid w:val="009B1B7F"/>
    <w:rsid w:val="009B2AC4"/>
    <w:rsid w:val="009B2C37"/>
    <w:rsid w:val="009B3E36"/>
    <w:rsid w:val="009B6666"/>
    <w:rsid w:val="009B6BB9"/>
    <w:rsid w:val="009B713D"/>
    <w:rsid w:val="009C26BB"/>
    <w:rsid w:val="009C34F8"/>
    <w:rsid w:val="009C4AD1"/>
    <w:rsid w:val="009C4F2E"/>
    <w:rsid w:val="009C54B4"/>
    <w:rsid w:val="009C55B2"/>
    <w:rsid w:val="009C606A"/>
    <w:rsid w:val="009C632A"/>
    <w:rsid w:val="009C658F"/>
    <w:rsid w:val="009C6718"/>
    <w:rsid w:val="009C7045"/>
    <w:rsid w:val="009C79E6"/>
    <w:rsid w:val="009D3747"/>
    <w:rsid w:val="009D3CFD"/>
    <w:rsid w:val="009D484C"/>
    <w:rsid w:val="009D6DEA"/>
    <w:rsid w:val="009D6EFB"/>
    <w:rsid w:val="009D7D3C"/>
    <w:rsid w:val="009E28BB"/>
    <w:rsid w:val="009E5685"/>
    <w:rsid w:val="009E61A5"/>
    <w:rsid w:val="009E6A84"/>
    <w:rsid w:val="009E6CB7"/>
    <w:rsid w:val="009E72DD"/>
    <w:rsid w:val="009E7363"/>
    <w:rsid w:val="009E7817"/>
    <w:rsid w:val="009F0B12"/>
    <w:rsid w:val="009F11C5"/>
    <w:rsid w:val="009F13A1"/>
    <w:rsid w:val="009F1484"/>
    <w:rsid w:val="009F195D"/>
    <w:rsid w:val="009F252F"/>
    <w:rsid w:val="009F29D4"/>
    <w:rsid w:val="009F32EF"/>
    <w:rsid w:val="009F4CDC"/>
    <w:rsid w:val="009F4D83"/>
    <w:rsid w:val="009F4F9F"/>
    <w:rsid w:val="009F5077"/>
    <w:rsid w:val="009F6BAC"/>
    <w:rsid w:val="00A00349"/>
    <w:rsid w:val="00A012E2"/>
    <w:rsid w:val="00A02114"/>
    <w:rsid w:val="00A0402F"/>
    <w:rsid w:val="00A04EF6"/>
    <w:rsid w:val="00A05B08"/>
    <w:rsid w:val="00A05B77"/>
    <w:rsid w:val="00A068D4"/>
    <w:rsid w:val="00A06BAB"/>
    <w:rsid w:val="00A07EB0"/>
    <w:rsid w:val="00A109A3"/>
    <w:rsid w:val="00A10C44"/>
    <w:rsid w:val="00A10D8D"/>
    <w:rsid w:val="00A10F8D"/>
    <w:rsid w:val="00A1340B"/>
    <w:rsid w:val="00A14EC1"/>
    <w:rsid w:val="00A15767"/>
    <w:rsid w:val="00A21F01"/>
    <w:rsid w:val="00A22382"/>
    <w:rsid w:val="00A22C64"/>
    <w:rsid w:val="00A23DFB"/>
    <w:rsid w:val="00A24656"/>
    <w:rsid w:val="00A24A60"/>
    <w:rsid w:val="00A24EE2"/>
    <w:rsid w:val="00A24F49"/>
    <w:rsid w:val="00A251BA"/>
    <w:rsid w:val="00A2693F"/>
    <w:rsid w:val="00A26BB6"/>
    <w:rsid w:val="00A26CF2"/>
    <w:rsid w:val="00A3177E"/>
    <w:rsid w:val="00A336BA"/>
    <w:rsid w:val="00A33E97"/>
    <w:rsid w:val="00A34147"/>
    <w:rsid w:val="00A35C34"/>
    <w:rsid w:val="00A37FA5"/>
    <w:rsid w:val="00A404F1"/>
    <w:rsid w:val="00A40A2C"/>
    <w:rsid w:val="00A4158F"/>
    <w:rsid w:val="00A425E9"/>
    <w:rsid w:val="00A42E64"/>
    <w:rsid w:val="00A44ED3"/>
    <w:rsid w:val="00A47770"/>
    <w:rsid w:val="00A477B9"/>
    <w:rsid w:val="00A47B92"/>
    <w:rsid w:val="00A52637"/>
    <w:rsid w:val="00A527E6"/>
    <w:rsid w:val="00A5296F"/>
    <w:rsid w:val="00A529A7"/>
    <w:rsid w:val="00A53DF5"/>
    <w:rsid w:val="00A547A3"/>
    <w:rsid w:val="00A54D2A"/>
    <w:rsid w:val="00A54D4D"/>
    <w:rsid w:val="00A553D2"/>
    <w:rsid w:val="00A55783"/>
    <w:rsid w:val="00A561D1"/>
    <w:rsid w:val="00A56BB8"/>
    <w:rsid w:val="00A57976"/>
    <w:rsid w:val="00A60A4B"/>
    <w:rsid w:val="00A60B67"/>
    <w:rsid w:val="00A627E9"/>
    <w:rsid w:val="00A634C4"/>
    <w:rsid w:val="00A63E7C"/>
    <w:rsid w:val="00A6403F"/>
    <w:rsid w:val="00A66A7A"/>
    <w:rsid w:val="00A703C9"/>
    <w:rsid w:val="00A714CC"/>
    <w:rsid w:val="00A718DC"/>
    <w:rsid w:val="00A718ED"/>
    <w:rsid w:val="00A72380"/>
    <w:rsid w:val="00A7289D"/>
    <w:rsid w:val="00A7361D"/>
    <w:rsid w:val="00A73771"/>
    <w:rsid w:val="00A75F7F"/>
    <w:rsid w:val="00A76B51"/>
    <w:rsid w:val="00A77485"/>
    <w:rsid w:val="00A774B6"/>
    <w:rsid w:val="00A8045E"/>
    <w:rsid w:val="00A804F3"/>
    <w:rsid w:val="00A8129A"/>
    <w:rsid w:val="00A82107"/>
    <w:rsid w:val="00A831BC"/>
    <w:rsid w:val="00A84240"/>
    <w:rsid w:val="00A84A94"/>
    <w:rsid w:val="00A84D55"/>
    <w:rsid w:val="00A84DF1"/>
    <w:rsid w:val="00A84EDB"/>
    <w:rsid w:val="00A90E37"/>
    <w:rsid w:val="00A91169"/>
    <w:rsid w:val="00A911A5"/>
    <w:rsid w:val="00A9146A"/>
    <w:rsid w:val="00A92100"/>
    <w:rsid w:val="00A9278C"/>
    <w:rsid w:val="00A92896"/>
    <w:rsid w:val="00A9350A"/>
    <w:rsid w:val="00A946FF"/>
    <w:rsid w:val="00A96256"/>
    <w:rsid w:val="00A9676B"/>
    <w:rsid w:val="00AA03FC"/>
    <w:rsid w:val="00AA1FA3"/>
    <w:rsid w:val="00AA4304"/>
    <w:rsid w:val="00AA488E"/>
    <w:rsid w:val="00AA596E"/>
    <w:rsid w:val="00AA5B8E"/>
    <w:rsid w:val="00AA6ACD"/>
    <w:rsid w:val="00AA7781"/>
    <w:rsid w:val="00AA7983"/>
    <w:rsid w:val="00AB1487"/>
    <w:rsid w:val="00AB1903"/>
    <w:rsid w:val="00AB208D"/>
    <w:rsid w:val="00AB3676"/>
    <w:rsid w:val="00AB3DD5"/>
    <w:rsid w:val="00AB3EFB"/>
    <w:rsid w:val="00AB465D"/>
    <w:rsid w:val="00AB4A83"/>
    <w:rsid w:val="00AB4D5A"/>
    <w:rsid w:val="00AB617F"/>
    <w:rsid w:val="00AB73EA"/>
    <w:rsid w:val="00AC0988"/>
    <w:rsid w:val="00AC137A"/>
    <w:rsid w:val="00AC1BF5"/>
    <w:rsid w:val="00AC2800"/>
    <w:rsid w:val="00AC2F7A"/>
    <w:rsid w:val="00AC3104"/>
    <w:rsid w:val="00AC4AA4"/>
    <w:rsid w:val="00AC4E25"/>
    <w:rsid w:val="00AC4E30"/>
    <w:rsid w:val="00AC689B"/>
    <w:rsid w:val="00AC7067"/>
    <w:rsid w:val="00AD1347"/>
    <w:rsid w:val="00AD17BD"/>
    <w:rsid w:val="00AD19C7"/>
    <w:rsid w:val="00AD1A21"/>
    <w:rsid w:val="00AD1E25"/>
    <w:rsid w:val="00AD36AE"/>
    <w:rsid w:val="00AD49E7"/>
    <w:rsid w:val="00AD5552"/>
    <w:rsid w:val="00AD5B5A"/>
    <w:rsid w:val="00AD5F35"/>
    <w:rsid w:val="00AD6A59"/>
    <w:rsid w:val="00AD6B3A"/>
    <w:rsid w:val="00AD7438"/>
    <w:rsid w:val="00AE0E2C"/>
    <w:rsid w:val="00AE171B"/>
    <w:rsid w:val="00AE1D26"/>
    <w:rsid w:val="00AE3B27"/>
    <w:rsid w:val="00AE42DE"/>
    <w:rsid w:val="00AE5D73"/>
    <w:rsid w:val="00AE7BC1"/>
    <w:rsid w:val="00AE7F20"/>
    <w:rsid w:val="00AF190C"/>
    <w:rsid w:val="00AF332F"/>
    <w:rsid w:val="00AF3B09"/>
    <w:rsid w:val="00AF4320"/>
    <w:rsid w:val="00AF4BC3"/>
    <w:rsid w:val="00AF4FDD"/>
    <w:rsid w:val="00AF710F"/>
    <w:rsid w:val="00AF714E"/>
    <w:rsid w:val="00AF7CF5"/>
    <w:rsid w:val="00B0017A"/>
    <w:rsid w:val="00B00A0C"/>
    <w:rsid w:val="00B00EEC"/>
    <w:rsid w:val="00B010A8"/>
    <w:rsid w:val="00B0247A"/>
    <w:rsid w:val="00B024AD"/>
    <w:rsid w:val="00B02967"/>
    <w:rsid w:val="00B03F87"/>
    <w:rsid w:val="00B06F22"/>
    <w:rsid w:val="00B070B7"/>
    <w:rsid w:val="00B0755B"/>
    <w:rsid w:val="00B10A41"/>
    <w:rsid w:val="00B120B6"/>
    <w:rsid w:val="00B12722"/>
    <w:rsid w:val="00B12760"/>
    <w:rsid w:val="00B12E2E"/>
    <w:rsid w:val="00B1452B"/>
    <w:rsid w:val="00B14C38"/>
    <w:rsid w:val="00B1508B"/>
    <w:rsid w:val="00B16BD3"/>
    <w:rsid w:val="00B1722C"/>
    <w:rsid w:val="00B17F83"/>
    <w:rsid w:val="00B206C4"/>
    <w:rsid w:val="00B208AA"/>
    <w:rsid w:val="00B23AFB"/>
    <w:rsid w:val="00B23EB9"/>
    <w:rsid w:val="00B2403A"/>
    <w:rsid w:val="00B24091"/>
    <w:rsid w:val="00B27C84"/>
    <w:rsid w:val="00B30A13"/>
    <w:rsid w:val="00B3189A"/>
    <w:rsid w:val="00B31FDA"/>
    <w:rsid w:val="00B326F0"/>
    <w:rsid w:val="00B32DA0"/>
    <w:rsid w:val="00B33EAD"/>
    <w:rsid w:val="00B3428D"/>
    <w:rsid w:val="00B354AA"/>
    <w:rsid w:val="00B366C1"/>
    <w:rsid w:val="00B37EA4"/>
    <w:rsid w:val="00B40820"/>
    <w:rsid w:val="00B40F5B"/>
    <w:rsid w:val="00B42DC4"/>
    <w:rsid w:val="00B43556"/>
    <w:rsid w:val="00B43EDE"/>
    <w:rsid w:val="00B45B3E"/>
    <w:rsid w:val="00B45D8F"/>
    <w:rsid w:val="00B46033"/>
    <w:rsid w:val="00B4741B"/>
    <w:rsid w:val="00B47DBC"/>
    <w:rsid w:val="00B51351"/>
    <w:rsid w:val="00B52542"/>
    <w:rsid w:val="00B52672"/>
    <w:rsid w:val="00B528B2"/>
    <w:rsid w:val="00B533B8"/>
    <w:rsid w:val="00B55C7C"/>
    <w:rsid w:val="00B5605B"/>
    <w:rsid w:val="00B5607A"/>
    <w:rsid w:val="00B564EC"/>
    <w:rsid w:val="00B566BF"/>
    <w:rsid w:val="00B56CAD"/>
    <w:rsid w:val="00B6028C"/>
    <w:rsid w:val="00B60D99"/>
    <w:rsid w:val="00B611D6"/>
    <w:rsid w:val="00B612A2"/>
    <w:rsid w:val="00B6264A"/>
    <w:rsid w:val="00B65A83"/>
    <w:rsid w:val="00B67575"/>
    <w:rsid w:val="00B675E6"/>
    <w:rsid w:val="00B705D4"/>
    <w:rsid w:val="00B70E75"/>
    <w:rsid w:val="00B71561"/>
    <w:rsid w:val="00B71FC7"/>
    <w:rsid w:val="00B71FF5"/>
    <w:rsid w:val="00B7296D"/>
    <w:rsid w:val="00B72B56"/>
    <w:rsid w:val="00B7454A"/>
    <w:rsid w:val="00B74C8C"/>
    <w:rsid w:val="00B758A1"/>
    <w:rsid w:val="00B7750D"/>
    <w:rsid w:val="00B812DF"/>
    <w:rsid w:val="00B815E1"/>
    <w:rsid w:val="00B81D8C"/>
    <w:rsid w:val="00B82BD9"/>
    <w:rsid w:val="00B83055"/>
    <w:rsid w:val="00B83182"/>
    <w:rsid w:val="00B83B40"/>
    <w:rsid w:val="00B83C2A"/>
    <w:rsid w:val="00B843C8"/>
    <w:rsid w:val="00B84B19"/>
    <w:rsid w:val="00B84CB1"/>
    <w:rsid w:val="00B84F1E"/>
    <w:rsid w:val="00B85580"/>
    <w:rsid w:val="00B85F01"/>
    <w:rsid w:val="00B868DD"/>
    <w:rsid w:val="00B86E18"/>
    <w:rsid w:val="00B87361"/>
    <w:rsid w:val="00B8750C"/>
    <w:rsid w:val="00B87AC4"/>
    <w:rsid w:val="00B90DA4"/>
    <w:rsid w:val="00B91FA8"/>
    <w:rsid w:val="00B92093"/>
    <w:rsid w:val="00B92132"/>
    <w:rsid w:val="00B9220A"/>
    <w:rsid w:val="00B9265D"/>
    <w:rsid w:val="00B93C06"/>
    <w:rsid w:val="00B943E4"/>
    <w:rsid w:val="00B94CA6"/>
    <w:rsid w:val="00B95198"/>
    <w:rsid w:val="00B9556F"/>
    <w:rsid w:val="00B9636E"/>
    <w:rsid w:val="00B9641C"/>
    <w:rsid w:val="00B967CC"/>
    <w:rsid w:val="00B96FDC"/>
    <w:rsid w:val="00B972A3"/>
    <w:rsid w:val="00B97A29"/>
    <w:rsid w:val="00B97D13"/>
    <w:rsid w:val="00BA21DB"/>
    <w:rsid w:val="00BA3C94"/>
    <w:rsid w:val="00BA6E74"/>
    <w:rsid w:val="00BA711D"/>
    <w:rsid w:val="00BA7F22"/>
    <w:rsid w:val="00BB1471"/>
    <w:rsid w:val="00BB21E3"/>
    <w:rsid w:val="00BB316B"/>
    <w:rsid w:val="00BB48B1"/>
    <w:rsid w:val="00BB49D0"/>
    <w:rsid w:val="00BB5CA2"/>
    <w:rsid w:val="00BB5CC8"/>
    <w:rsid w:val="00BB61A5"/>
    <w:rsid w:val="00BB67C1"/>
    <w:rsid w:val="00BB6C43"/>
    <w:rsid w:val="00BB6C79"/>
    <w:rsid w:val="00BC07BD"/>
    <w:rsid w:val="00BC1F48"/>
    <w:rsid w:val="00BC224C"/>
    <w:rsid w:val="00BC3C2C"/>
    <w:rsid w:val="00BC3E64"/>
    <w:rsid w:val="00BC4BE2"/>
    <w:rsid w:val="00BC5C30"/>
    <w:rsid w:val="00BC6878"/>
    <w:rsid w:val="00BD001B"/>
    <w:rsid w:val="00BD03AB"/>
    <w:rsid w:val="00BD17D9"/>
    <w:rsid w:val="00BD2796"/>
    <w:rsid w:val="00BD2CA5"/>
    <w:rsid w:val="00BD31CE"/>
    <w:rsid w:val="00BD5644"/>
    <w:rsid w:val="00BD6882"/>
    <w:rsid w:val="00BD69A6"/>
    <w:rsid w:val="00BD70A8"/>
    <w:rsid w:val="00BE02BF"/>
    <w:rsid w:val="00BE052B"/>
    <w:rsid w:val="00BE22C0"/>
    <w:rsid w:val="00BE4333"/>
    <w:rsid w:val="00BE4AED"/>
    <w:rsid w:val="00BE513E"/>
    <w:rsid w:val="00BE52A5"/>
    <w:rsid w:val="00BE54F1"/>
    <w:rsid w:val="00BE5AC3"/>
    <w:rsid w:val="00BE78A5"/>
    <w:rsid w:val="00BE7BF3"/>
    <w:rsid w:val="00BE7F31"/>
    <w:rsid w:val="00BF0AE8"/>
    <w:rsid w:val="00BF3C5A"/>
    <w:rsid w:val="00BF5AD4"/>
    <w:rsid w:val="00BF5BB9"/>
    <w:rsid w:val="00BF7816"/>
    <w:rsid w:val="00C0105B"/>
    <w:rsid w:val="00C015D4"/>
    <w:rsid w:val="00C03CF4"/>
    <w:rsid w:val="00C04FB8"/>
    <w:rsid w:val="00C054BC"/>
    <w:rsid w:val="00C05A86"/>
    <w:rsid w:val="00C05D1C"/>
    <w:rsid w:val="00C065CC"/>
    <w:rsid w:val="00C067C6"/>
    <w:rsid w:val="00C069A5"/>
    <w:rsid w:val="00C07768"/>
    <w:rsid w:val="00C104F8"/>
    <w:rsid w:val="00C1066A"/>
    <w:rsid w:val="00C1144A"/>
    <w:rsid w:val="00C11FBD"/>
    <w:rsid w:val="00C12A09"/>
    <w:rsid w:val="00C12D0A"/>
    <w:rsid w:val="00C1315C"/>
    <w:rsid w:val="00C16912"/>
    <w:rsid w:val="00C16C97"/>
    <w:rsid w:val="00C170EA"/>
    <w:rsid w:val="00C17608"/>
    <w:rsid w:val="00C20121"/>
    <w:rsid w:val="00C21758"/>
    <w:rsid w:val="00C2245F"/>
    <w:rsid w:val="00C22EE9"/>
    <w:rsid w:val="00C23821"/>
    <w:rsid w:val="00C24026"/>
    <w:rsid w:val="00C24BFF"/>
    <w:rsid w:val="00C2583C"/>
    <w:rsid w:val="00C25BDB"/>
    <w:rsid w:val="00C265B8"/>
    <w:rsid w:val="00C308FE"/>
    <w:rsid w:val="00C30EF7"/>
    <w:rsid w:val="00C31A40"/>
    <w:rsid w:val="00C31E4E"/>
    <w:rsid w:val="00C3251C"/>
    <w:rsid w:val="00C34382"/>
    <w:rsid w:val="00C3459B"/>
    <w:rsid w:val="00C34FE5"/>
    <w:rsid w:val="00C35AA7"/>
    <w:rsid w:val="00C35FE7"/>
    <w:rsid w:val="00C36D6A"/>
    <w:rsid w:val="00C37751"/>
    <w:rsid w:val="00C37825"/>
    <w:rsid w:val="00C37CBF"/>
    <w:rsid w:val="00C42FD3"/>
    <w:rsid w:val="00C44087"/>
    <w:rsid w:val="00C44943"/>
    <w:rsid w:val="00C4498C"/>
    <w:rsid w:val="00C44C89"/>
    <w:rsid w:val="00C44F8C"/>
    <w:rsid w:val="00C454AF"/>
    <w:rsid w:val="00C45B3C"/>
    <w:rsid w:val="00C46E3D"/>
    <w:rsid w:val="00C475A1"/>
    <w:rsid w:val="00C479A2"/>
    <w:rsid w:val="00C47AB8"/>
    <w:rsid w:val="00C47DEC"/>
    <w:rsid w:val="00C510B0"/>
    <w:rsid w:val="00C5129A"/>
    <w:rsid w:val="00C520BB"/>
    <w:rsid w:val="00C52158"/>
    <w:rsid w:val="00C53DE2"/>
    <w:rsid w:val="00C544FE"/>
    <w:rsid w:val="00C55093"/>
    <w:rsid w:val="00C56386"/>
    <w:rsid w:val="00C56963"/>
    <w:rsid w:val="00C601AB"/>
    <w:rsid w:val="00C601B7"/>
    <w:rsid w:val="00C60D5A"/>
    <w:rsid w:val="00C6110B"/>
    <w:rsid w:val="00C61310"/>
    <w:rsid w:val="00C62AAD"/>
    <w:rsid w:val="00C62D93"/>
    <w:rsid w:val="00C63142"/>
    <w:rsid w:val="00C6356E"/>
    <w:rsid w:val="00C63EF4"/>
    <w:rsid w:val="00C64A24"/>
    <w:rsid w:val="00C660E1"/>
    <w:rsid w:val="00C662AA"/>
    <w:rsid w:val="00C6733D"/>
    <w:rsid w:val="00C67DFB"/>
    <w:rsid w:val="00C67FA4"/>
    <w:rsid w:val="00C71094"/>
    <w:rsid w:val="00C71175"/>
    <w:rsid w:val="00C71E43"/>
    <w:rsid w:val="00C71EB2"/>
    <w:rsid w:val="00C72A61"/>
    <w:rsid w:val="00C72B0A"/>
    <w:rsid w:val="00C73914"/>
    <w:rsid w:val="00C7533C"/>
    <w:rsid w:val="00C75D88"/>
    <w:rsid w:val="00C772C5"/>
    <w:rsid w:val="00C77D23"/>
    <w:rsid w:val="00C80FD0"/>
    <w:rsid w:val="00C8113D"/>
    <w:rsid w:val="00C811BB"/>
    <w:rsid w:val="00C8316F"/>
    <w:rsid w:val="00C836B8"/>
    <w:rsid w:val="00C83DB7"/>
    <w:rsid w:val="00C8407A"/>
    <w:rsid w:val="00C844BF"/>
    <w:rsid w:val="00C8463E"/>
    <w:rsid w:val="00C84667"/>
    <w:rsid w:val="00C84ACF"/>
    <w:rsid w:val="00C853EA"/>
    <w:rsid w:val="00C856D0"/>
    <w:rsid w:val="00C86D43"/>
    <w:rsid w:val="00C87D3C"/>
    <w:rsid w:val="00C91188"/>
    <w:rsid w:val="00C92393"/>
    <w:rsid w:val="00C9467F"/>
    <w:rsid w:val="00C95700"/>
    <w:rsid w:val="00C959BD"/>
    <w:rsid w:val="00C96C34"/>
    <w:rsid w:val="00C97A7F"/>
    <w:rsid w:val="00C97B04"/>
    <w:rsid w:val="00C97BFE"/>
    <w:rsid w:val="00C97C93"/>
    <w:rsid w:val="00CA04E7"/>
    <w:rsid w:val="00CA08B3"/>
    <w:rsid w:val="00CA1F28"/>
    <w:rsid w:val="00CA339B"/>
    <w:rsid w:val="00CA363E"/>
    <w:rsid w:val="00CA36E2"/>
    <w:rsid w:val="00CA39DE"/>
    <w:rsid w:val="00CA3AB1"/>
    <w:rsid w:val="00CA5434"/>
    <w:rsid w:val="00CA6C52"/>
    <w:rsid w:val="00CA77F9"/>
    <w:rsid w:val="00CB0078"/>
    <w:rsid w:val="00CB3A91"/>
    <w:rsid w:val="00CB3E01"/>
    <w:rsid w:val="00CB4773"/>
    <w:rsid w:val="00CB5789"/>
    <w:rsid w:val="00CB5D0F"/>
    <w:rsid w:val="00CB5D57"/>
    <w:rsid w:val="00CB6FED"/>
    <w:rsid w:val="00CC054E"/>
    <w:rsid w:val="00CC15A7"/>
    <w:rsid w:val="00CC1C05"/>
    <w:rsid w:val="00CC2B45"/>
    <w:rsid w:val="00CC3040"/>
    <w:rsid w:val="00CC3417"/>
    <w:rsid w:val="00CC3D5F"/>
    <w:rsid w:val="00CC457E"/>
    <w:rsid w:val="00CC715A"/>
    <w:rsid w:val="00CD1903"/>
    <w:rsid w:val="00CD20A2"/>
    <w:rsid w:val="00CD45A6"/>
    <w:rsid w:val="00CD5FF9"/>
    <w:rsid w:val="00CE01DA"/>
    <w:rsid w:val="00CE1669"/>
    <w:rsid w:val="00CE1BDA"/>
    <w:rsid w:val="00CE28BF"/>
    <w:rsid w:val="00CE3F14"/>
    <w:rsid w:val="00CE5730"/>
    <w:rsid w:val="00CE6F0D"/>
    <w:rsid w:val="00CE7C5C"/>
    <w:rsid w:val="00CF1448"/>
    <w:rsid w:val="00CF2473"/>
    <w:rsid w:val="00CF2C39"/>
    <w:rsid w:val="00CF3E5A"/>
    <w:rsid w:val="00CF403F"/>
    <w:rsid w:val="00CF5511"/>
    <w:rsid w:val="00CF6229"/>
    <w:rsid w:val="00CF662E"/>
    <w:rsid w:val="00CF7097"/>
    <w:rsid w:val="00D02064"/>
    <w:rsid w:val="00D02C01"/>
    <w:rsid w:val="00D04401"/>
    <w:rsid w:val="00D051A4"/>
    <w:rsid w:val="00D05854"/>
    <w:rsid w:val="00D0670B"/>
    <w:rsid w:val="00D075F2"/>
    <w:rsid w:val="00D079A2"/>
    <w:rsid w:val="00D07F7B"/>
    <w:rsid w:val="00D112EC"/>
    <w:rsid w:val="00D13352"/>
    <w:rsid w:val="00D13F3F"/>
    <w:rsid w:val="00D1454E"/>
    <w:rsid w:val="00D14762"/>
    <w:rsid w:val="00D15D3D"/>
    <w:rsid w:val="00D1689D"/>
    <w:rsid w:val="00D17916"/>
    <w:rsid w:val="00D20547"/>
    <w:rsid w:val="00D21119"/>
    <w:rsid w:val="00D23E65"/>
    <w:rsid w:val="00D241BE"/>
    <w:rsid w:val="00D245E7"/>
    <w:rsid w:val="00D24BB6"/>
    <w:rsid w:val="00D24D14"/>
    <w:rsid w:val="00D2765E"/>
    <w:rsid w:val="00D30303"/>
    <w:rsid w:val="00D314A5"/>
    <w:rsid w:val="00D318D2"/>
    <w:rsid w:val="00D31C75"/>
    <w:rsid w:val="00D327DD"/>
    <w:rsid w:val="00D33366"/>
    <w:rsid w:val="00D346C3"/>
    <w:rsid w:val="00D34C93"/>
    <w:rsid w:val="00D36901"/>
    <w:rsid w:val="00D36D7E"/>
    <w:rsid w:val="00D36E7D"/>
    <w:rsid w:val="00D37A52"/>
    <w:rsid w:val="00D37EA4"/>
    <w:rsid w:val="00D40EE6"/>
    <w:rsid w:val="00D41143"/>
    <w:rsid w:val="00D41CA9"/>
    <w:rsid w:val="00D41E99"/>
    <w:rsid w:val="00D42C8B"/>
    <w:rsid w:val="00D44135"/>
    <w:rsid w:val="00D45D6A"/>
    <w:rsid w:val="00D4681E"/>
    <w:rsid w:val="00D46C83"/>
    <w:rsid w:val="00D47391"/>
    <w:rsid w:val="00D475B1"/>
    <w:rsid w:val="00D47630"/>
    <w:rsid w:val="00D526E1"/>
    <w:rsid w:val="00D53118"/>
    <w:rsid w:val="00D5326F"/>
    <w:rsid w:val="00D5342C"/>
    <w:rsid w:val="00D53B25"/>
    <w:rsid w:val="00D53E0C"/>
    <w:rsid w:val="00D541D3"/>
    <w:rsid w:val="00D55421"/>
    <w:rsid w:val="00D56645"/>
    <w:rsid w:val="00D566CE"/>
    <w:rsid w:val="00D574FA"/>
    <w:rsid w:val="00D619FE"/>
    <w:rsid w:val="00D62B5E"/>
    <w:rsid w:val="00D63155"/>
    <w:rsid w:val="00D63899"/>
    <w:rsid w:val="00D63981"/>
    <w:rsid w:val="00D639FD"/>
    <w:rsid w:val="00D63ED2"/>
    <w:rsid w:val="00D64E89"/>
    <w:rsid w:val="00D66C62"/>
    <w:rsid w:val="00D66C93"/>
    <w:rsid w:val="00D6797A"/>
    <w:rsid w:val="00D70537"/>
    <w:rsid w:val="00D734F2"/>
    <w:rsid w:val="00D73A40"/>
    <w:rsid w:val="00D748B4"/>
    <w:rsid w:val="00D75931"/>
    <w:rsid w:val="00D7722D"/>
    <w:rsid w:val="00D7765E"/>
    <w:rsid w:val="00D83C9B"/>
    <w:rsid w:val="00D83CC1"/>
    <w:rsid w:val="00D847CA"/>
    <w:rsid w:val="00D855F2"/>
    <w:rsid w:val="00D86BB7"/>
    <w:rsid w:val="00D86E0E"/>
    <w:rsid w:val="00D870AD"/>
    <w:rsid w:val="00D913B9"/>
    <w:rsid w:val="00D921FB"/>
    <w:rsid w:val="00D9237C"/>
    <w:rsid w:val="00D924F2"/>
    <w:rsid w:val="00D92816"/>
    <w:rsid w:val="00D9286A"/>
    <w:rsid w:val="00D97371"/>
    <w:rsid w:val="00DA08CB"/>
    <w:rsid w:val="00DA12CE"/>
    <w:rsid w:val="00DA1B47"/>
    <w:rsid w:val="00DA2F5F"/>
    <w:rsid w:val="00DA2FDB"/>
    <w:rsid w:val="00DA485F"/>
    <w:rsid w:val="00DA5931"/>
    <w:rsid w:val="00DA7555"/>
    <w:rsid w:val="00DB086C"/>
    <w:rsid w:val="00DB0B2F"/>
    <w:rsid w:val="00DB0BE2"/>
    <w:rsid w:val="00DB1493"/>
    <w:rsid w:val="00DB1E08"/>
    <w:rsid w:val="00DB24C8"/>
    <w:rsid w:val="00DB2D6E"/>
    <w:rsid w:val="00DB2EC9"/>
    <w:rsid w:val="00DB315E"/>
    <w:rsid w:val="00DB3F52"/>
    <w:rsid w:val="00DB4006"/>
    <w:rsid w:val="00DB5476"/>
    <w:rsid w:val="00DC0DD8"/>
    <w:rsid w:val="00DC2159"/>
    <w:rsid w:val="00DC2CCF"/>
    <w:rsid w:val="00DC319F"/>
    <w:rsid w:val="00DC3FCD"/>
    <w:rsid w:val="00DC4905"/>
    <w:rsid w:val="00DC4E00"/>
    <w:rsid w:val="00DC585C"/>
    <w:rsid w:val="00DC599B"/>
    <w:rsid w:val="00DC5B89"/>
    <w:rsid w:val="00DC6991"/>
    <w:rsid w:val="00DC71B2"/>
    <w:rsid w:val="00DC750A"/>
    <w:rsid w:val="00DD012C"/>
    <w:rsid w:val="00DD0E62"/>
    <w:rsid w:val="00DD1D1C"/>
    <w:rsid w:val="00DD2025"/>
    <w:rsid w:val="00DD255E"/>
    <w:rsid w:val="00DD25DF"/>
    <w:rsid w:val="00DD40D2"/>
    <w:rsid w:val="00DD4FB5"/>
    <w:rsid w:val="00DD54FD"/>
    <w:rsid w:val="00DD5A7E"/>
    <w:rsid w:val="00DD653D"/>
    <w:rsid w:val="00DD7766"/>
    <w:rsid w:val="00DD7DDD"/>
    <w:rsid w:val="00DE1151"/>
    <w:rsid w:val="00DE3CDB"/>
    <w:rsid w:val="00DE3F61"/>
    <w:rsid w:val="00DE43C8"/>
    <w:rsid w:val="00DE7736"/>
    <w:rsid w:val="00DE793F"/>
    <w:rsid w:val="00DF0718"/>
    <w:rsid w:val="00DF0EE3"/>
    <w:rsid w:val="00DF3300"/>
    <w:rsid w:val="00DF3FDD"/>
    <w:rsid w:val="00DF4466"/>
    <w:rsid w:val="00DF7029"/>
    <w:rsid w:val="00E001DC"/>
    <w:rsid w:val="00E01959"/>
    <w:rsid w:val="00E02C37"/>
    <w:rsid w:val="00E034AA"/>
    <w:rsid w:val="00E044B4"/>
    <w:rsid w:val="00E04A21"/>
    <w:rsid w:val="00E04A5E"/>
    <w:rsid w:val="00E0712E"/>
    <w:rsid w:val="00E103CE"/>
    <w:rsid w:val="00E108C0"/>
    <w:rsid w:val="00E1486D"/>
    <w:rsid w:val="00E14D6C"/>
    <w:rsid w:val="00E14F3D"/>
    <w:rsid w:val="00E153E6"/>
    <w:rsid w:val="00E15474"/>
    <w:rsid w:val="00E1658B"/>
    <w:rsid w:val="00E226BF"/>
    <w:rsid w:val="00E22E52"/>
    <w:rsid w:val="00E22F29"/>
    <w:rsid w:val="00E23464"/>
    <w:rsid w:val="00E243B0"/>
    <w:rsid w:val="00E24B56"/>
    <w:rsid w:val="00E25BAB"/>
    <w:rsid w:val="00E27311"/>
    <w:rsid w:val="00E300E4"/>
    <w:rsid w:val="00E30E5E"/>
    <w:rsid w:val="00E31CE1"/>
    <w:rsid w:val="00E31FC3"/>
    <w:rsid w:val="00E33185"/>
    <w:rsid w:val="00E33FE3"/>
    <w:rsid w:val="00E35635"/>
    <w:rsid w:val="00E36189"/>
    <w:rsid w:val="00E36AE3"/>
    <w:rsid w:val="00E372F1"/>
    <w:rsid w:val="00E3736E"/>
    <w:rsid w:val="00E373FA"/>
    <w:rsid w:val="00E417B3"/>
    <w:rsid w:val="00E41B3B"/>
    <w:rsid w:val="00E41FC2"/>
    <w:rsid w:val="00E42CB3"/>
    <w:rsid w:val="00E44093"/>
    <w:rsid w:val="00E46237"/>
    <w:rsid w:val="00E462B6"/>
    <w:rsid w:val="00E469C8"/>
    <w:rsid w:val="00E50BAF"/>
    <w:rsid w:val="00E51832"/>
    <w:rsid w:val="00E51FB5"/>
    <w:rsid w:val="00E5206D"/>
    <w:rsid w:val="00E52601"/>
    <w:rsid w:val="00E5314A"/>
    <w:rsid w:val="00E541F4"/>
    <w:rsid w:val="00E54756"/>
    <w:rsid w:val="00E5519D"/>
    <w:rsid w:val="00E5580F"/>
    <w:rsid w:val="00E55AA3"/>
    <w:rsid w:val="00E55C4C"/>
    <w:rsid w:val="00E55DC8"/>
    <w:rsid w:val="00E57475"/>
    <w:rsid w:val="00E6015C"/>
    <w:rsid w:val="00E602C3"/>
    <w:rsid w:val="00E61219"/>
    <w:rsid w:val="00E62405"/>
    <w:rsid w:val="00E625F4"/>
    <w:rsid w:val="00E62CCC"/>
    <w:rsid w:val="00E630B8"/>
    <w:rsid w:val="00E63FD0"/>
    <w:rsid w:val="00E654BB"/>
    <w:rsid w:val="00E655E4"/>
    <w:rsid w:val="00E662B2"/>
    <w:rsid w:val="00E7095A"/>
    <w:rsid w:val="00E7131A"/>
    <w:rsid w:val="00E72CE8"/>
    <w:rsid w:val="00E7402E"/>
    <w:rsid w:val="00E74AC8"/>
    <w:rsid w:val="00E74D88"/>
    <w:rsid w:val="00E77217"/>
    <w:rsid w:val="00E82242"/>
    <w:rsid w:val="00E833D1"/>
    <w:rsid w:val="00E8346C"/>
    <w:rsid w:val="00E8410B"/>
    <w:rsid w:val="00E84670"/>
    <w:rsid w:val="00E846FB"/>
    <w:rsid w:val="00E85F61"/>
    <w:rsid w:val="00E86768"/>
    <w:rsid w:val="00E9048D"/>
    <w:rsid w:val="00E909B0"/>
    <w:rsid w:val="00E91466"/>
    <w:rsid w:val="00E91818"/>
    <w:rsid w:val="00E91D49"/>
    <w:rsid w:val="00E92095"/>
    <w:rsid w:val="00E94412"/>
    <w:rsid w:val="00E94D29"/>
    <w:rsid w:val="00E95D0A"/>
    <w:rsid w:val="00E96AC8"/>
    <w:rsid w:val="00EA0552"/>
    <w:rsid w:val="00EA07E8"/>
    <w:rsid w:val="00EA1B14"/>
    <w:rsid w:val="00EA4D29"/>
    <w:rsid w:val="00EA5E14"/>
    <w:rsid w:val="00EA690B"/>
    <w:rsid w:val="00EA731C"/>
    <w:rsid w:val="00EB12DE"/>
    <w:rsid w:val="00EB1F6C"/>
    <w:rsid w:val="00EB2CBB"/>
    <w:rsid w:val="00EB2CC0"/>
    <w:rsid w:val="00EB383F"/>
    <w:rsid w:val="00EB3A13"/>
    <w:rsid w:val="00EB4C22"/>
    <w:rsid w:val="00EB4F93"/>
    <w:rsid w:val="00EB5926"/>
    <w:rsid w:val="00EB59F1"/>
    <w:rsid w:val="00EB5D27"/>
    <w:rsid w:val="00EB5D6B"/>
    <w:rsid w:val="00EB5FCD"/>
    <w:rsid w:val="00EB64F9"/>
    <w:rsid w:val="00EC126F"/>
    <w:rsid w:val="00EC1C4C"/>
    <w:rsid w:val="00EC2155"/>
    <w:rsid w:val="00EC4856"/>
    <w:rsid w:val="00EC4905"/>
    <w:rsid w:val="00EC4CD5"/>
    <w:rsid w:val="00EC5E17"/>
    <w:rsid w:val="00EC5E22"/>
    <w:rsid w:val="00EC7077"/>
    <w:rsid w:val="00EC7BDA"/>
    <w:rsid w:val="00ED0B23"/>
    <w:rsid w:val="00ED0EBB"/>
    <w:rsid w:val="00ED215B"/>
    <w:rsid w:val="00ED216B"/>
    <w:rsid w:val="00ED2488"/>
    <w:rsid w:val="00ED3920"/>
    <w:rsid w:val="00ED4491"/>
    <w:rsid w:val="00ED4FA2"/>
    <w:rsid w:val="00ED6208"/>
    <w:rsid w:val="00ED6768"/>
    <w:rsid w:val="00ED7CB5"/>
    <w:rsid w:val="00EE1359"/>
    <w:rsid w:val="00EE1929"/>
    <w:rsid w:val="00EE2B84"/>
    <w:rsid w:val="00EE3EFF"/>
    <w:rsid w:val="00EE5F72"/>
    <w:rsid w:val="00EE6EBD"/>
    <w:rsid w:val="00EE7239"/>
    <w:rsid w:val="00EF092F"/>
    <w:rsid w:val="00EF1731"/>
    <w:rsid w:val="00EF1DCB"/>
    <w:rsid w:val="00EF259B"/>
    <w:rsid w:val="00EF3169"/>
    <w:rsid w:val="00EF360C"/>
    <w:rsid w:val="00EF481E"/>
    <w:rsid w:val="00EF6FAB"/>
    <w:rsid w:val="00EF72F8"/>
    <w:rsid w:val="00F0057E"/>
    <w:rsid w:val="00F01E5F"/>
    <w:rsid w:val="00F01FE4"/>
    <w:rsid w:val="00F02334"/>
    <w:rsid w:val="00F02540"/>
    <w:rsid w:val="00F02B4B"/>
    <w:rsid w:val="00F032DC"/>
    <w:rsid w:val="00F03CA5"/>
    <w:rsid w:val="00F03DD7"/>
    <w:rsid w:val="00F057DD"/>
    <w:rsid w:val="00F0678E"/>
    <w:rsid w:val="00F06B8F"/>
    <w:rsid w:val="00F06CDE"/>
    <w:rsid w:val="00F06FB5"/>
    <w:rsid w:val="00F073D2"/>
    <w:rsid w:val="00F07D3C"/>
    <w:rsid w:val="00F07F88"/>
    <w:rsid w:val="00F1167C"/>
    <w:rsid w:val="00F11DDE"/>
    <w:rsid w:val="00F11F2D"/>
    <w:rsid w:val="00F1292D"/>
    <w:rsid w:val="00F135BF"/>
    <w:rsid w:val="00F13C96"/>
    <w:rsid w:val="00F151BF"/>
    <w:rsid w:val="00F1549E"/>
    <w:rsid w:val="00F15B64"/>
    <w:rsid w:val="00F16144"/>
    <w:rsid w:val="00F16626"/>
    <w:rsid w:val="00F16726"/>
    <w:rsid w:val="00F1697E"/>
    <w:rsid w:val="00F16F28"/>
    <w:rsid w:val="00F1791F"/>
    <w:rsid w:val="00F224A4"/>
    <w:rsid w:val="00F23096"/>
    <w:rsid w:val="00F254C4"/>
    <w:rsid w:val="00F27B68"/>
    <w:rsid w:val="00F27BAB"/>
    <w:rsid w:val="00F300D7"/>
    <w:rsid w:val="00F3040C"/>
    <w:rsid w:val="00F315EA"/>
    <w:rsid w:val="00F33F05"/>
    <w:rsid w:val="00F41B04"/>
    <w:rsid w:val="00F41C74"/>
    <w:rsid w:val="00F42DDE"/>
    <w:rsid w:val="00F43EB3"/>
    <w:rsid w:val="00F45F76"/>
    <w:rsid w:val="00F46722"/>
    <w:rsid w:val="00F46A71"/>
    <w:rsid w:val="00F46C17"/>
    <w:rsid w:val="00F4749E"/>
    <w:rsid w:val="00F47A76"/>
    <w:rsid w:val="00F5010B"/>
    <w:rsid w:val="00F50EC8"/>
    <w:rsid w:val="00F53363"/>
    <w:rsid w:val="00F53534"/>
    <w:rsid w:val="00F53FBC"/>
    <w:rsid w:val="00F544F5"/>
    <w:rsid w:val="00F54712"/>
    <w:rsid w:val="00F562B1"/>
    <w:rsid w:val="00F56771"/>
    <w:rsid w:val="00F60564"/>
    <w:rsid w:val="00F62471"/>
    <w:rsid w:val="00F64891"/>
    <w:rsid w:val="00F6502E"/>
    <w:rsid w:val="00F66866"/>
    <w:rsid w:val="00F67391"/>
    <w:rsid w:val="00F70872"/>
    <w:rsid w:val="00F712B1"/>
    <w:rsid w:val="00F71B2E"/>
    <w:rsid w:val="00F74EC1"/>
    <w:rsid w:val="00F75271"/>
    <w:rsid w:val="00F75A95"/>
    <w:rsid w:val="00F769E2"/>
    <w:rsid w:val="00F76C09"/>
    <w:rsid w:val="00F77D65"/>
    <w:rsid w:val="00F77D7A"/>
    <w:rsid w:val="00F80C94"/>
    <w:rsid w:val="00F82328"/>
    <w:rsid w:val="00F83D10"/>
    <w:rsid w:val="00F84929"/>
    <w:rsid w:val="00F8646B"/>
    <w:rsid w:val="00F90DAD"/>
    <w:rsid w:val="00F91196"/>
    <w:rsid w:val="00F9138A"/>
    <w:rsid w:val="00F91933"/>
    <w:rsid w:val="00F919BA"/>
    <w:rsid w:val="00F92B0E"/>
    <w:rsid w:val="00F9358C"/>
    <w:rsid w:val="00F9543C"/>
    <w:rsid w:val="00F9613B"/>
    <w:rsid w:val="00F964F6"/>
    <w:rsid w:val="00F9669F"/>
    <w:rsid w:val="00F97B7B"/>
    <w:rsid w:val="00FA1488"/>
    <w:rsid w:val="00FA1670"/>
    <w:rsid w:val="00FA1A31"/>
    <w:rsid w:val="00FA2468"/>
    <w:rsid w:val="00FA2F23"/>
    <w:rsid w:val="00FA3129"/>
    <w:rsid w:val="00FA3390"/>
    <w:rsid w:val="00FA3519"/>
    <w:rsid w:val="00FA352A"/>
    <w:rsid w:val="00FA5355"/>
    <w:rsid w:val="00FA6893"/>
    <w:rsid w:val="00FA6F75"/>
    <w:rsid w:val="00FA714C"/>
    <w:rsid w:val="00FA7A8F"/>
    <w:rsid w:val="00FB02EA"/>
    <w:rsid w:val="00FB062A"/>
    <w:rsid w:val="00FB159B"/>
    <w:rsid w:val="00FB1B15"/>
    <w:rsid w:val="00FB2A80"/>
    <w:rsid w:val="00FB4848"/>
    <w:rsid w:val="00FB4A48"/>
    <w:rsid w:val="00FB4E24"/>
    <w:rsid w:val="00FB5492"/>
    <w:rsid w:val="00FB7A02"/>
    <w:rsid w:val="00FB7FE9"/>
    <w:rsid w:val="00FC09FF"/>
    <w:rsid w:val="00FC113F"/>
    <w:rsid w:val="00FC1FA8"/>
    <w:rsid w:val="00FC2187"/>
    <w:rsid w:val="00FC3489"/>
    <w:rsid w:val="00FC4360"/>
    <w:rsid w:val="00FC444D"/>
    <w:rsid w:val="00FC6397"/>
    <w:rsid w:val="00FC64DE"/>
    <w:rsid w:val="00FC6C02"/>
    <w:rsid w:val="00FC718C"/>
    <w:rsid w:val="00FC7688"/>
    <w:rsid w:val="00FD0EF6"/>
    <w:rsid w:val="00FD0F0D"/>
    <w:rsid w:val="00FD1703"/>
    <w:rsid w:val="00FD182F"/>
    <w:rsid w:val="00FD1C28"/>
    <w:rsid w:val="00FD23AA"/>
    <w:rsid w:val="00FD2BA4"/>
    <w:rsid w:val="00FD3A28"/>
    <w:rsid w:val="00FD4201"/>
    <w:rsid w:val="00FD4706"/>
    <w:rsid w:val="00FD707F"/>
    <w:rsid w:val="00FD741B"/>
    <w:rsid w:val="00FE0014"/>
    <w:rsid w:val="00FE310D"/>
    <w:rsid w:val="00FE41EF"/>
    <w:rsid w:val="00FE4D10"/>
    <w:rsid w:val="00FE5298"/>
    <w:rsid w:val="00FE556B"/>
    <w:rsid w:val="00FE6008"/>
    <w:rsid w:val="00FE6405"/>
    <w:rsid w:val="00FE6C90"/>
    <w:rsid w:val="00FE7567"/>
    <w:rsid w:val="00FF05F7"/>
    <w:rsid w:val="00FF0608"/>
    <w:rsid w:val="00FF09E9"/>
    <w:rsid w:val="00FF0CF8"/>
    <w:rsid w:val="00FF1265"/>
    <w:rsid w:val="00FF1BF6"/>
    <w:rsid w:val="00FF3669"/>
    <w:rsid w:val="00FF429D"/>
    <w:rsid w:val="00FF5893"/>
    <w:rsid w:val="00FF591A"/>
    <w:rsid w:val="00FF6695"/>
    <w:rsid w:val="00FF6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1C78"/>
    <w:rPr>
      <w:rFonts w:ascii="Cambria" w:hAnsi="Cambria"/>
      <w:sz w:val="22"/>
      <w:szCs w:val="24"/>
    </w:rPr>
  </w:style>
  <w:style w:type="paragraph" w:styleId="Heading1">
    <w:name w:val="heading 1"/>
    <w:basedOn w:val="Normal"/>
    <w:next w:val="Normal"/>
    <w:link w:val="Heading1Char"/>
    <w:uiPriority w:val="9"/>
    <w:qFormat/>
    <w:rsid w:val="00015B76"/>
    <w:pPr>
      <w:keepNext/>
      <w:outlineLvl w:val="0"/>
    </w:pPr>
    <w:rPr>
      <w:rFonts w:ascii="Optima Medium" w:hAnsi="Optima Medium" w:cs="Arial"/>
      <w:bCs/>
      <w:kern w:val="32"/>
      <w:sz w:val="36"/>
      <w:szCs w:val="32"/>
    </w:rPr>
  </w:style>
  <w:style w:type="paragraph" w:styleId="Heading2">
    <w:name w:val="heading 2"/>
    <w:basedOn w:val="Normal"/>
    <w:next w:val="Normal"/>
    <w:qFormat/>
    <w:rsid w:val="00015B76"/>
    <w:pPr>
      <w:keepNext/>
      <w:outlineLvl w:val="1"/>
    </w:pPr>
    <w:rPr>
      <w:rFonts w:ascii="Calibri" w:hAnsi="Calibri" w:cs="Arial"/>
      <w:b/>
      <w:bCs/>
      <w:iCs/>
      <w:szCs w:val="28"/>
    </w:rPr>
  </w:style>
  <w:style w:type="paragraph" w:styleId="Heading3">
    <w:name w:val="heading 3"/>
    <w:basedOn w:val="Normal"/>
    <w:next w:val="Normal"/>
    <w:qFormat/>
    <w:rsid w:val="00015B76"/>
    <w:pPr>
      <w:keepNext/>
      <w:outlineLvl w:val="2"/>
    </w:pPr>
    <w:rPr>
      <w:rFonts w:ascii="Calibri" w:hAnsi="Calibri"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015B76"/>
    <w:pPr>
      <w:numPr>
        <w:numId w:val="5"/>
      </w:numPr>
    </w:pPr>
    <w:rPr>
      <w:rFonts w:ascii="Calibri" w:eastAsia="Times" w:hAnsi="Calibri"/>
      <w:szCs w:val="20"/>
    </w:rPr>
  </w:style>
  <w:style w:type="paragraph" w:styleId="Header">
    <w:name w:val="header"/>
    <w:basedOn w:val="Normal"/>
    <w:rsid w:val="003B522C"/>
    <w:pPr>
      <w:tabs>
        <w:tab w:val="center" w:pos="4320"/>
        <w:tab w:val="right" w:pos="8640"/>
      </w:tabs>
    </w:pPr>
  </w:style>
  <w:style w:type="numbering" w:customStyle="1" w:styleId="Numbered">
    <w:name w:val="Numbered"/>
    <w:basedOn w:val="NoList"/>
    <w:rsid w:val="00015B76"/>
    <w:pPr>
      <w:numPr>
        <w:numId w:val="9"/>
      </w:numPr>
    </w:pPr>
  </w:style>
  <w:style w:type="paragraph" w:customStyle="1" w:styleId="Bullets">
    <w:name w:val="Bullets"/>
    <w:basedOn w:val="Normal"/>
    <w:rsid w:val="00015B76"/>
    <w:pPr>
      <w:numPr>
        <w:numId w:val="12"/>
      </w:numPr>
    </w:pPr>
  </w:style>
  <w:style w:type="numbering" w:styleId="111111">
    <w:name w:val="Outline List 2"/>
    <w:basedOn w:val="NoList"/>
    <w:rsid w:val="00015B76"/>
    <w:pPr>
      <w:numPr>
        <w:numId w:val="10"/>
      </w:numPr>
    </w:pPr>
  </w:style>
  <w:style w:type="paragraph" w:styleId="Footer">
    <w:name w:val="footer"/>
    <w:basedOn w:val="Normal"/>
    <w:link w:val="FooterChar"/>
    <w:uiPriority w:val="99"/>
    <w:rsid w:val="003B522C"/>
    <w:pPr>
      <w:tabs>
        <w:tab w:val="center" w:pos="4320"/>
        <w:tab w:val="right" w:pos="8640"/>
      </w:tabs>
    </w:pPr>
  </w:style>
  <w:style w:type="paragraph" w:styleId="BalloonText">
    <w:name w:val="Balloon Text"/>
    <w:basedOn w:val="Normal"/>
    <w:link w:val="BalloonTextChar"/>
    <w:rsid w:val="00731B0C"/>
    <w:rPr>
      <w:rFonts w:ascii="Tahoma" w:hAnsi="Tahoma" w:cs="Tahoma"/>
      <w:sz w:val="16"/>
      <w:szCs w:val="16"/>
    </w:rPr>
  </w:style>
  <w:style w:type="character" w:customStyle="1" w:styleId="BalloonTextChar">
    <w:name w:val="Balloon Text Char"/>
    <w:basedOn w:val="DefaultParagraphFont"/>
    <w:link w:val="BalloonText"/>
    <w:rsid w:val="00731B0C"/>
    <w:rPr>
      <w:rFonts w:ascii="Tahoma" w:hAnsi="Tahoma" w:cs="Tahoma"/>
      <w:sz w:val="16"/>
      <w:szCs w:val="16"/>
    </w:rPr>
  </w:style>
  <w:style w:type="paragraph" w:styleId="ListParagraph">
    <w:name w:val="List Paragraph"/>
    <w:basedOn w:val="Normal"/>
    <w:uiPriority w:val="34"/>
    <w:qFormat/>
    <w:rsid w:val="00BE7F31"/>
    <w:pPr>
      <w:ind w:left="720"/>
      <w:contextualSpacing/>
    </w:pPr>
  </w:style>
  <w:style w:type="character" w:styleId="Hyperlink">
    <w:name w:val="Hyperlink"/>
    <w:aliases w:val="Footnote Reference Number"/>
    <w:unhideWhenUsed/>
    <w:rsid w:val="000A2AED"/>
    <w:rPr>
      <w:color w:val="0000FF"/>
      <w:u w:val="single"/>
    </w:rPr>
  </w:style>
  <w:style w:type="character" w:customStyle="1" w:styleId="Heading1Char">
    <w:name w:val="Heading 1 Char"/>
    <w:basedOn w:val="DefaultParagraphFont"/>
    <w:link w:val="Heading1"/>
    <w:uiPriority w:val="9"/>
    <w:rsid w:val="006E70C3"/>
    <w:rPr>
      <w:rFonts w:ascii="Optima Medium" w:hAnsi="Optima Medium" w:cs="Arial"/>
      <w:bCs/>
      <w:kern w:val="32"/>
      <w:sz w:val="36"/>
      <w:szCs w:val="32"/>
    </w:rPr>
  </w:style>
  <w:style w:type="paragraph" w:styleId="Bibliography">
    <w:name w:val="Bibliography"/>
    <w:basedOn w:val="Normal"/>
    <w:next w:val="Normal"/>
    <w:uiPriority w:val="37"/>
    <w:unhideWhenUsed/>
    <w:rsid w:val="006E70C3"/>
  </w:style>
  <w:style w:type="character" w:styleId="FollowedHyperlink">
    <w:name w:val="FollowedHyperlink"/>
    <w:basedOn w:val="DefaultParagraphFont"/>
    <w:rsid w:val="00C662AA"/>
    <w:rPr>
      <w:color w:val="800080" w:themeColor="followedHyperlink"/>
      <w:u w:val="single"/>
    </w:rPr>
  </w:style>
  <w:style w:type="paragraph" w:styleId="FootnoteText">
    <w:name w:val="footnote text"/>
    <w:basedOn w:val="Normal"/>
    <w:link w:val="FootnoteTextChar"/>
    <w:rsid w:val="006B290F"/>
    <w:rPr>
      <w:sz w:val="20"/>
      <w:szCs w:val="20"/>
    </w:rPr>
  </w:style>
  <w:style w:type="character" w:customStyle="1" w:styleId="FootnoteTextChar">
    <w:name w:val="Footnote Text Char"/>
    <w:basedOn w:val="DefaultParagraphFont"/>
    <w:link w:val="FootnoteText"/>
    <w:rsid w:val="006B290F"/>
    <w:rPr>
      <w:rFonts w:ascii="Cambria" w:hAnsi="Cambria"/>
    </w:rPr>
  </w:style>
  <w:style w:type="character" w:styleId="FootnoteReference">
    <w:name w:val="footnote reference"/>
    <w:basedOn w:val="DefaultParagraphFont"/>
    <w:rsid w:val="006B290F"/>
    <w:rPr>
      <w:vertAlign w:val="superscript"/>
    </w:rPr>
  </w:style>
  <w:style w:type="character" w:styleId="CommentReference">
    <w:name w:val="annotation reference"/>
    <w:basedOn w:val="DefaultParagraphFont"/>
    <w:rsid w:val="000A198B"/>
    <w:rPr>
      <w:sz w:val="16"/>
      <w:szCs w:val="16"/>
    </w:rPr>
  </w:style>
  <w:style w:type="paragraph" w:styleId="CommentText">
    <w:name w:val="annotation text"/>
    <w:basedOn w:val="Normal"/>
    <w:link w:val="CommentTextChar"/>
    <w:rsid w:val="000A198B"/>
    <w:rPr>
      <w:sz w:val="20"/>
      <w:szCs w:val="20"/>
    </w:rPr>
  </w:style>
  <w:style w:type="character" w:customStyle="1" w:styleId="CommentTextChar">
    <w:name w:val="Comment Text Char"/>
    <w:basedOn w:val="DefaultParagraphFont"/>
    <w:link w:val="CommentText"/>
    <w:rsid w:val="000A198B"/>
    <w:rPr>
      <w:rFonts w:ascii="Cambria" w:hAnsi="Cambria"/>
    </w:rPr>
  </w:style>
  <w:style w:type="paragraph" w:styleId="CommentSubject">
    <w:name w:val="annotation subject"/>
    <w:basedOn w:val="CommentText"/>
    <w:next w:val="CommentText"/>
    <w:link w:val="CommentSubjectChar"/>
    <w:rsid w:val="000A198B"/>
    <w:rPr>
      <w:b/>
      <w:bCs/>
    </w:rPr>
  </w:style>
  <w:style w:type="character" w:customStyle="1" w:styleId="CommentSubjectChar">
    <w:name w:val="Comment Subject Char"/>
    <w:basedOn w:val="CommentTextChar"/>
    <w:link w:val="CommentSubject"/>
    <w:rsid w:val="000A198B"/>
    <w:rPr>
      <w:rFonts w:ascii="Cambria" w:hAnsi="Cambria"/>
      <w:b/>
      <w:bCs/>
    </w:rPr>
  </w:style>
  <w:style w:type="paragraph" w:customStyle="1" w:styleId="head">
    <w:name w:val="head"/>
    <w:basedOn w:val="Normal"/>
    <w:rsid w:val="00714AA8"/>
    <w:rPr>
      <w:rFonts w:ascii="Arial" w:hAnsi="Arial" w:cs="Arial"/>
      <w:b/>
      <w:bCs/>
      <w:szCs w:val="22"/>
    </w:rPr>
  </w:style>
  <w:style w:type="paragraph" w:customStyle="1" w:styleId="body">
    <w:name w:val="body"/>
    <w:basedOn w:val="Normal"/>
    <w:rsid w:val="00714AA8"/>
    <w:rPr>
      <w:rFonts w:ascii="Calibri" w:hAnsi="Calibri" w:cs="Calibri"/>
      <w:i/>
      <w:iCs/>
      <w:szCs w:val="22"/>
    </w:rPr>
  </w:style>
  <w:style w:type="paragraph" w:customStyle="1" w:styleId="Table">
    <w:name w:val="Table"/>
    <w:basedOn w:val="Normal"/>
    <w:rsid w:val="00714AA8"/>
    <w:rPr>
      <w:rFonts w:ascii="Calibri" w:hAnsi="Calibri" w:cs="Calibri"/>
      <w:sz w:val="20"/>
      <w:szCs w:val="20"/>
    </w:rPr>
  </w:style>
  <w:style w:type="table" w:styleId="TableGrid">
    <w:name w:val="Table Grid"/>
    <w:basedOn w:val="TableNormal"/>
    <w:rsid w:val="005E4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3C36EA"/>
    <w:pPr>
      <w:spacing w:after="200"/>
    </w:pPr>
    <w:rPr>
      <w:b/>
      <w:bCs/>
      <w:color w:val="4F81BD" w:themeColor="accent1"/>
      <w:sz w:val="18"/>
      <w:szCs w:val="18"/>
    </w:rPr>
  </w:style>
  <w:style w:type="paragraph" w:styleId="BodyText">
    <w:name w:val="Body Text"/>
    <w:basedOn w:val="Normal"/>
    <w:link w:val="BodyTextChar"/>
    <w:rsid w:val="00FC6397"/>
    <w:pPr>
      <w:spacing w:after="120"/>
    </w:pPr>
  </w:style>
  <w:style w:type="character" w:customStyle="1" w:styleId="BodyTextChar">
    <w:name w:val="Body Text Char"/>
    <w:basedOn w:val="DefaultParagraphFont"/>
    <w:link w:val="BodyText"/>
    <w:rsid w:val="00FC6397"/>
    <w:rPr>
      <w:rFonts w:ascii="Cambria" w:hAnsi="Cambria"/>
      <w:sz w:val="22"/>
      <w:szCs w:val="24"/>
    </w:rPr>
  </w:style>
  <w:style w:type="paragraph" w:styleId="Revision">
    <w:name w:val="Revision"/>
    <w:hidden/>
    <w:uiPriority w:val="99"/>
    <w:semiHidden/>
    <w:rsid w:val="009641A0"/>
    <w:rPr>
      <w:rFonts w:ascii="Cambria" w:hAnsi="Cambria"/>
      <w:sz w:val="22"/>
      <w:szCs w:val="24"/>
    </w:rPr>
  </w:style>
  <w:style w:type="character" w:customStyle="1" w:styleId="FooterChar">
    <w:name w:val="Footer Char"/>
    <w:basedOn w:val="DefaultParagraphFont"/>
    <w:link w:val="Footer"/>
    <w:uiPriority w:val="99"/>
    <w:rsid w:val="001A615A"/>
    <w:rPr>
      <w:rFonts w:ascii="Cambria" w:hAnsi="Cambria"/>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1C78"/>
    <w:rPr>
      <w:rFonts w:ascii="Cambria" w:hAnsi="Cambria"/>
      <w:sz w:val="22"/>
      <w:szCs w:val="24"/>
    </w:rPr>
  </w:style>
  <w:style w:type="paragraph" w:styleId="Heading1">
    <w:name w:val="heading 1"/>
    <w:basedOn w:val="Normal"/>
    <w:next w:val="Normal"/>
    <w:link w:val="Heading1Char"/>
    <w:uiPriority w:val="9"/>
    <w:qFormat/>
    <w:rsid w:val="00015B76"/>
    <w:pPr>
      <w:keepNext/>
      <w:outlineLvl w:val="0"/>
    </w:pPr>
    <w:rPr>
      <w:rFonts w:ascii="Optima Medium" w:hAnsi="Optima Medium" w:cs="Arial"/>
      <w:bCs/>
      <w:kern w:val="32"/>
      <w:sz w:val="36"/>
      <w:szCs w:val="32"/>
    </w:rPr>
  </w:style>
  <w:style w:type="paragraph" w:styleId="Heading2">
    <w:name w:val="heading 2"/>
    <w:basedOn w:val="Normal"/>
    <w:next w:val="Normal"/>
    <w:qFormat/>
    <w:rsid w:val="00015B76"/>
    <w:pPr>
      <w:keepNext/>
      <w:outlineLvl w:val="1"/>
    </w:pPr>
    <w:rPr>
      <w:rFonts w:ascii="Calibri" w:hAnsi="Calibri" w:cs="Arial"/>
      <w:b/>
      <w:bCs/>
      <w:iCs/>
      <w:szCs w:val="28"/>
    </w:rPr>
  </w:style>
  <w:style w:type="paragraph" w:styleId="Heading3">
    <w:name w:val="heading 3"/>
    <w:basedOn w:val="Normal"/>
    <w:next w:val="Normal"/>
    <w:qFormat/>
    <w:rsid w:val="00015B76"/>
    <w:pPr>
      <w:keepNext/>
      <w:outlineLvl w:val="2"/>
    </w:pPr>
    <w:rPr>
      <w:rFonts w:ascii="Calibri" w:hAnsi="Calibri"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Normal"/>
    <w:rsid w:val="00015B76"/>
    <w:pPr>
      <w:numPr>
        <w:numId w:val="5"/>
      </w:numPr>
    </w:pPr>
    <w:rPr>
      <w:rFonts w:ascii="Calibri" w:eastAsia="Times" w:hAnsi="Calibri"/>
      <w:szCs w:val="20"/>
    </w:rPr>
  </w:style>
  <w:style w:type="paragraph" w:styleId="Header">
    <w:name w:val="header"/>
    <w:basedOn w:val="Normal"/>
    <w:rsid w:val="003B522C"/>
    <w:pPr>
      <w:tabs>
        <w:tab w:val="center" w:pos="4320"/>
        <w:tab w:val="right" w:pos="8640"/>
      </w:tabs>
    </w:pPr>
  </w:style>
  <w:style w:type="numbering" w:customStyle="1" w:styleId="Numbered">
    <w:name w:val="Numbered"/>
    <w:basedOn w:val="NoList"/>
    <w:rsid w:val="00015B76"/>
    <w:pPr>
      <w:numPr>
        <w:numId w:val="9"/>
      </w:numPr>
    </w:pPr>
  </w:style>
  <w:style w:type="paragraph" w:customStyle="1" w:styleId="Bullets">
    <w:name w:val="Bullets"/>
    <w:basedOn w:val="Normal"/>
    <w:rsid w:val="00015B76"/>
    <w:pPr>
      <w:numPr>
        <w:numId w:val="12"/>
      </w:numPr>
    </w:pPr>
  </w:style>
  <w:style w:type="numbering" w:styleId="111111">
    <w:name w:val="Outline List 2"/>
    <w:basedOn w:val="NoList"/>
    <w:rsid w:val="00015B76"/>
    <w:pPr>
      <w:numPr>
        <w:numId w:val="10"/>
      </w:numPr>
    </w:pPr>
  </w:style>
  <w:style w:type="paragraph" w:styleId="Footer">
    <w:name w:val="footer"/>
    <w:basedOn w:val="Normal"/>
    <w:link w:val="FooterChar"/>
    <w:uiPriority w:val="99"/>
    <w:rsid w:val="003B522C"/>
    <w:pPr>
      <w:tabs>
        <w:tab w:val="center" w:pos="4320"/>
        <w:tab w:val="right" w:pos="8640"/>
      </w:tabs>
    </w:pPr>
  </w:style>
  <w:style w:type="paragraph" w:styleId="BalloonText">
    <w:name w:val="Balloon Text"/>
    <w:basedOn w:val="Normal"/>
    <w:link w:val="BalloonTextChar"/>
    <w:rsid w:val="00731B0C"/>
    <w:rPr>
      <w:rFonts w:ascii="Tahoma" w:hAnsi="Tahoma" w:cs="Tahoma"/>
      <w:sz w:val="16"/>
      <w:szCs w:val="16"/>
    </w:rPr>
  </w:style>
  <w:style w:type="character" w:customStyle="1" w:styleId="BalloonTextChar">
    <w:name w:val="Balloon Text Char"/>
    <w:basedOn w:val="DefaultParagraphFont"/>
    <w:link w:val="BalloonText"/>
    <w:rsid w:val="00731B0C"/>
    <w:rPr>
      <w:rFonts w:ascii="Tahoma" w:hAnsi="Tahoma" w:cs="Tahoma"/>
      <w:sz w:val="16"/>
      <w:szCs w:val="16"/>
    </w:rPr>
  </w:style>
  <w:style w:type="paragraph" w:styleId="ListParagraph">
    <w:name w:val="List Paragraph"/>
    <w:basedOn w:val="Normal"/>
    <w:uiPriority w:val="34"/>
    <w:qFormat/>
    <w:rsid w:val="00BE7F31"/>
    <w:pPr>
      <w:ind w:left="720"/>
      <w:contextualSpacing/>
    </w:pPr>
  </w:style>
  <w:style w:type="character" w:styleId="Hyperlink">
    <w:name w:val="Hyperlink"/>
    <w:aliases w:val="Footnote Reference Number"/>
    <w:unhideWhenUsed/>
    <w:rsid w:val="000A2AED"/>
    <w:rPr>
      <w:color w:val="0000FF"/>
      <w:u w:val="single"/>
    </w:rPr>
  </w:style>
  <w:style w:type="character" w:customStyle="1" w:styleId="Heading1Char">
    <w:name w:val="Heading 1 Char"/>
    <w:basedOn w:val="DefaultParagraphFont"/>
    <w:link w:val="Heading1"/>
    <w:uiPriority w:val="9"/>
    <w:rsid w:val="006E70C3"/>
    <w:rPr>
      <w:rFonts w:ascii="Optima Medium" w:hAnsi="Optima Medium" w:cs="Arial"/>
      <w:bCs/>
      <w:kern w:val="32"/>
      <w:sz w:val="36"/>
      <w:szCs w:val="32"/>
    </w:rPr>
  </w:style>
  <w:style w:type="paragraph" w:styleId="Bibliography">
    <w:name w:val="Bibliography"/>
    <w:basedOn w:val="Normal"/>
    <w:next w:val="Normal"/>
    <w:uiPriority w:val="37"/>
    <w:unhideWhenUsed/>
    <w:rsid w:val="006E70C3"/>
  </w:style>
  <w:style w:type="character" w:styleId="FollowedHyperlink">
    <w:name w:val="FollowedHyperlink"/>
    <w:basedOn w:val="DefaultParagraphFont"/>
    <w:rsid w:val="00C662AA"/>
    <w:rPr>
      <w:color w:val="800080" w:themeColor="followedHyperlink"/>
      <w:u w:val="single"/>
    </w:rPr>
  </w:style>
  <w:style w:type="paragraph" w:styleId="FootnoteText">
    <w:name w:val="footnote text"/>
    <w:basedOn w:val="Normal"/>
    <w:link w:val="FootnoteTextChar"/>
    <w:rsid w:val="006B290F"/>
    <w:rPr>
      <w:sz w:val="20"/>
      <w:szCs w:val="20"/>
    </w:rPr>
  </w:style>
  <w:style w:type="character" w:customStyle="1" w:styleId="FootnoteTextChar">
    <w:name w:val="Footnote Text Char"/>
    <w:basedOn w:val="DefaultParagraphFont"/>
    <w:link w:val="FootnoteText"/>
    <w:rsid w:val="006B290F"/>
    <w:rPr>
      <w:rFonts w:ascii="Cambria" w:hAnsi="Cambria"/>
    </w:rPr>
  </w:style>
  <w:style w:type="character" w:styleId="FootnoteReference">
    <w:name w:val="footnote reference"/>
    <w:basedOn w:val="DefaultParagraphFont"/>
    <w:rsid w:val="006B290F"/>
    <w:rPr>
      <w:vertAlign w:val="superscript"/>
    </w:rPr>
  </w:style>
  <w:style w:type="character" w:styleId="CommentReference">
    <w:name w:val="annotation reference"/>
    <w:basedOn w:val="DefaultParagraphFont"/>
    <w:rsid w:val="000A198B"/>
    <w:rPr>
      <w:sz w:val="16"/>
      <w:szCs w:val="16"/>
    </w:rPr>
  </w:style>
  <w:style w:type="paragraph" w:styleId="CommentText">
    <w:name w:val="annotation text"/>
    <w:basedOn w:val="Normal"/>
    <w:link w:val="CommentTextChar"/>
    <w:rsid w:val="000A198B"/>
    <w:rPr>
      <w:sz w:val="20"/>
      <w:szCs w:val="20"/>
    </w:rPr>
  </w:style>
  <w:style w:type="character" w:customStyle="1" w:styleId="CommentTextChar">
    <w:name w:val="Comment Text Char"/>
    <w:basedOn w:val="DefaultParagraphFont"/>
    <w:link w:val="CommentText"/>
    <w:rsid w:val="000A198B"/>
    <w:rPr>
      <w:rFonts w:ascii="Cambria" w:hAnsi="Cambria"/>
    </w:rPr>
  </w:style>
  <w:style w:type="paragraph" w:styleId="CommentSubject">
    <w:name w:val="annotation subject"/>
    <w:basedOn w:val="CommentText"/>
    <w:next w:val="CommentText"/>
    <w:link w:val="CommentSubjectChar"/>
    <w:rsid w:val="000A198B"/>
    <w:rPr>
      <w:b/>
      <w:bCs/>
    </w:rPr>
  </w:style>
  <w:style w:type="character" w:customStyle="1" w:styleId="CommentSubjectChar">
    <w:name w:val="Comment Subject Char"/>
    <w:basedOn w:val="CommentTextChar"/>
    <w:link w:val="CommentSubject"/>
    <w:rsid w:val="000A198B"/>
    <w:rPr>
      <w:rFonts w:ascii="Cambria" w:hAnsi="Cambria"/>
      <w:b/>
      <w:bCs/>
    </w:rPr>
  </w:style>
  <w:style w:type="paragraph" w:customStyle="1" w:styleId="head">
    <w:name w:val="head"/>
    <w:basedOn w:val="Normal"/>
    <w:rsid w:val="00714AA8"/>
    <w:rPr>
      <w:rFonts w:ascii="Arial" w:hAnsi="Arial" w:cs="Arial"/>
      <w:b/>
      <w:bCs/>
      <w:szCs w:val="22"/>
    </w:rPr>
  </w:style>
  <w:style w:type="paragraph" w:customStyle="1" w:styleId="body">
    <w:name w:val="body"/>
    <w:basedOn w:val="Normal"/>
    <w:rsid w:val="00714AA8"/>
    <w:rPr>
      <w:rFonts w:ascii="Calibri" w:hAnsi="Calibri" w:cs="Calibri"/>
      <w:i/>
      <w:iCs/>
      <w:szCs w:val="22"/>
    </w:rPr>
  </w:style>
  <w:style w:type="paragraph" w:customStyle="1" w:styleId="Table">
    <w:name w:val="Table"/>
    <w:basedOn w:val="Normal"/>
    <w:rsid w:val="00714AA8"/>
    <w:rPr>
      <w:rFonts w:ascii="Calibri" w:hAnsi="Calibri" w:cs="Calibri"/>
      <w:sz w:val="20"/>
      <w:szCs w:val="20"/>
    </w:rPr>
  </w:style>
  <w:style w:type="table" w:styleId="TableGrid">
    <w:name w:val="Table Grid"/>
    <w:basedOn w:val="TableNormal"/>
    <w:rsid w:val="005E41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3C36EA"/>
    <w:pPr>
      <w:spacing w:after="200"/>
    </w:pPr>
    <w:rPr>
      <w:b/>
      <w:bCs/>
      <w:color w:val="4F81BD" w:themeColor="accent1"/>
      <w:sz w:val="18"/>
      <w:szCs w:val="18"/>
    </w:rPr>
  </w:style>
  <w:style w:type="paragraph" w:styleId="BodyText">
    <w:name w:val="Body Text"/>
    <w:basedOn w:val="Normal"/>
    <w:link w:val="BodyTextChar"/>
    <w:rsid w:val="00FC6397"/>
    <w:pPr>
      <w:spacing w:after="120"/>
    </w:pPr>
  </w:style>
  <w:style w:type="character" w:customStyle="1" w:styleId="BodyTextChar">
    <w:name w:val="Body Text Char"/>
    <w:basedOn w:val="DefaultParagraphFont"/>
    <w:link w:val="BodyText"/>
    <w:rsid w:val="00FC6397"/>
    <w:rPr>
      <w:rFonts w:ascii="Cambria" w:hAnsi="Cambria"/>
      <w:sz w:val="22"/>
      <w:szCs w:val="24"/>
    </w:rPr>
  </w:style>
  <w:style w:type="paragraph" w:styleId="Revision">
    <w:name w:val="Revision"/>
    <w:hidden/>
    <w:uiPriority w:val="99"/>
    <w:semiHidden/>
    <w:rsid w:val="009641A0"/>
    <w:rPr>
      <w:rFonts w:ascii="Cambria" w:hAnsi="Cambria"/>
      <w:sz w:val="22"/>
      <w:szCs w:val="24"/>
    </w:rPr>
  </w:style>
  <w:style w:type="character" w:customStyle="1" w:styleId="FooterChar">
    <w:name w:val="Footer Char"/>
    <w:basedOn w:val="DefaultParagraphFont"/>
    <w:link w:val="Footer"/>
    <w:uiPriority w:val="99"/>
    <w:rsid w:val="001A615A"/>
    <w:rPr>
      <w:rFonts w:ascii="Cambria" w:hAnsi="Cambr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09450">
      <w:bodyDiv w:val="1"/>
      <w:marLeft w:val="0"/>
      <w:marRight w:val="0"/>
      <w:marTop w:val="0"/>
      <w:marBottom w:val="0"/>
      <w:divBdr>
        <w:top w:val="none" w:sz="0" w:space="0" w:color="auto"/>
        <w:left w:val="none" w:sz="0" w:space="0" w:color="auto"/>
        <w:bottom w:val="none" w:sz="0" w:space="0" w:color="auto"/>
        <w:right w:val="none" w:sz="0" w:space="0" w:color="auto"/>
      </w:divBdr>
    </w:div>
    <w:div w:id="495656983">
      <w:bodyDiv w:val="1"/>
      <w:marLeft w:val="0"/>
      <w:marRight w:val="0"/>
      <w:marTop w:val="0"/>
      <w:marBottom w:val="0"/>
      <w:divBdr>
        <w:top w:val="none" w:sz="0" w:space="0" w:color="auto"/>
        <w:left w:val="none" w:sz="0" w:space="0" w:color="auto"/>
        <w:bottom w:val="none" w:sz="0" w:space="0" w:color="auto"/>
        <w:right w:val="none" w:sz="0" w:space="0" w:color="auto"/>
      </w:divBdr>
    </w:div>
    <w:div w:id="577903770">
      <w:bodyDiv w:val="1"/>
      <w:marLeft w:val="0"/>
      <w:marRight w:val="0"/>
      <w:marTop w:val="0"/>
      <w:marBottom w:val="0"/>
      <w:divBdr>
        <w:top w:val="none" w:sz="0" w:space="0" w:color="auto"/>
        <w:left w:val="none" w:sz="0" w:space="0" w:color="auto"/>
        <w:bottom w:val="none" w:sz="0" w:space="0" w:color="auto"/>
        <w:right w:val="none" w:sz="0" w:space="0" w:color="auto"/>
      </w:divBdr>
    </w:div>
    <w:div w:id="791288899">
      <w:bodyDiv w:val="1"/>
      <w:marLeft w:val="0"/>
      <w:marRight w:val="0"/>
      <w:marTop w:val="0"/>
      <w:marBottom w:val="0"/>
      <w:divBdr>
        <w:top w:val="none" w:sz="0" w:space="0" w:color="auto"/>
        <w:left w:val="none" w:sz="0" w:space="0" w:color="auto"/>
        <w:bottom w:val="none" w:sz="0" w:space="0" w:color="auto"/>
        <w:right w:val="none" w:sz="0" w:space="0" w:color="auto"/>
      </w:divBdr>
    </w:div>
    <w:div w:id="792332005">
      <w:bodyDiv w:val="1"/>
      <w:marLeft w:val="0"/>
      <w:marRight w:val="0"/>
      <w:marTop w:val="0"/>
      <w:marBottom w:val="0"/>
      <w:divBdr>
        <w:top w:val="none" w:sz="0" w:space="0" w:color="auto"/>
        <w:left w:val="none" w:sz="0" w:space="0" w:color="auto"/>
        <w:bottom w:val="none" w:sz="0" w:space="0" w:color="auto"/>
        <w:right w:val="none" w:sz="0" w:space="0" w:color="auto"/>
      </w:divBdr>
    </w:div>
    <w:div w:id="793525406">
      <w:bodyDiv w:val="1"/>
      <w:marLeft w:val="0"/>
      <w:marRight w:val="0"/>
      <w:marTop w:val="0"/>
      <w:marBottom w:val="0"/>
      <w:divBdr>
        <w:top w:val="none" w:sz="0" w:space="0" w:color="auto"/>
        <w:left w:val="none" w:sz="0" w:space="0" w:color="auto"/>
        <w:bottom w:val="none" w:sz="0" w:space="0" w:color="auto"/>
        <w:right w:val="none" w:sz="0" w:space="0" w:color="auto"/>
      </w:divBdr>
    </w:div>
    <w:div w:id="1146359524">
      <w:bodyDiv w:val="1"/>
      <w:marLeft w:val="0"/>
      <w:marRight w:val="0"/>
      <w:marTop w:val="0"/>
      <w:marBottom w:val="0"/>
      <w:divBdr>
        <w:top w:val="none" w:sz="0" w:space="0" w:color="auto"/>
        <w:left w:val="none" w:sz="0" w:space="0" w:color="auto"/>
        <w:bottom w:val="none" w:sz="0" w:space="0" w:color="auto"/>
        <w:right w:val="none" w:sz="0" w:space="0" w:color="auto"/>
      </w:divBdr>
    </w:div>
    <w:div w:id="1246188900">
      <w:bodyDiv w:val="1"/>
      <w:marLeft w:val="0"/>
      <w:marRight w:val="0"/>
      <w:marTop w:val="0"/>
      <w:marBottom w:val="0"/>
      <w:divBdr>
        <w:top w:val="none" w:sz="0" w:space="0" w:color="auto"/>
        <w:left w:val="none" w:sz="0" w:space="0" w:color="auto"/>
        <w:bottom w:val="none" w:sz="0" w:space="0" w:color="auto"/>
        <w:right w:val="none" w:sz="0" w:space="0" w:color="auto"/>
      </w:divBdr>
    </w:div>
    <w:div w:id="170120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Ore06</b:Tag>
    <b:SourceType>Report</b:SourceType>
    <b:Guid>{3D02F035-DAC2-4791-915F-45A6407FA874}</b:Guid>
    <b:Title>Oregon Transportation Plan</b:Title>
    <b:Year>2006</b:Year>
    <b:City>Salem, OR 97301</b:City>
    <b:Publisher>Oregon Department of Transportation</b:Publisher>
    <b:Author>
      <b:Author>
        <b:Corporate>Oregon Department of Transportation</b:Corporate>
      </b:Author>
    </b:Author>
    <b:RefOrder>2</b:RefOrder>
  </b:Source>
  <b:Source>
    <b:Tag>Sta14</b:Tag>
    <b:SourceType>InternetSite</b:SourceType>
    <b:Guid>{036EC8F4-EB6F-4984-999C-864F81DCFF20}</b:Guid>
    <b:Title>Statewide Planning Goals</b:Title>
    <b:Year>2014</b:Year>
    <b:Author>
      <b:Author>
        <b:Corporate>State of Oregon, DLCD</b:Corporate>
      </b:Author>
    </b:Author>
    <b:InternetSiteTitle>Oregon Department of Land Conservation and Development</b:InternetSiteTitle>
    <b:Month>June</b:Month>
    <b:Day>11</b:Day>
    <b:YearAccessed>2014</b:YearAccessed>
    <b:MonthAccessed>June</b:MonthAccessed>
    <b:DayAccessed>11</b:DayAccessed>
    <b:URL>http://www.oregon.gov/LCD/pages/goals.aspx</b:URL>
    <b:RefOrder>1</b:RefOrder>
  </b:Source>
  <b:Source>
    <b:Tag>Sta141</b:Tag>
    <b:SourceType>InternetSite</b:SourceType>
    <b:Guid>{739917C0-A02A-4724-9A85-DE392F5A3A17}</b:Guid>
    <b:Author>
      <b:Author>
        <b:Corporate>State of Oregon, DLCD</b:Corporate>
      </b:Author>
    </b:Author>
    <b:Title>Transportation Planning Rule</b:Title>
    <b:InternetSiteTitle>Oregon Department of Land Conservation and Development</b:InternetSiteTitle>
    <b:Year>2014</b:Year>
    <b:Month>June</b:Month>
    <b:Day>11</b:Day>
    <b:YearAccessed>2014</b:YearAccessed>
    <b:MonthAccessed>June</b:MonthAccessed>
    <b:DayAccessed>11</b:DayAccessed>
    <b:URL>http://www.oregon.gov/LCD/pages/rulemaking_tpr_2011.aspx</b:URL>
    <b:RefOrder>3</b:RefOrder>
  </b:Source>
  <b:Source>
    <b:Tag>Ore14</b:Tag>
    <b:SourceType>InternetSite</b:SourceType>
    <b:Guid>{2F4388CF-6756-4D88-9B96-FD5809A6B9A8}</b:Guid>
    <b:Author>
      <b:Author>
        <b:Corporate>Oregon Department of Transportation</b:Corporate>
      </b:Author>
    </b:Author>
    <b:Title>Oregon Highway Plan</b:Title>
    <b:InternetSiteTitle>Transportation Development - Planning</b:InternetSiteTitle>
    <b:Year>2014</b:Year>
    <b:Month>June</b:Month>
    <b:Day>11</b:Day>
    <b:YearAccessed>2014</b:YearAccessed>
    <b:MonthAccessed>June</b:MonthAccessed>
    <b:DayAccessed>11</b:DayAccessed>
    <b:URL>http://www.oregon.gov/ODOT/TD/TP/pages/ohp.aspx</b:URL>
    <b:RefOrder>4</b:RefOrder>
  </b:Source>
  <b:Source>
    <b:Tag>Ore141</b:Tag>
    <b:SourceType>InternetSite</b:SourceType>
    <b:Guid>{200AADD3-C1B0-4B76-826D-7EE91A1C9E0A}</b:Guid>
    <b:Author>
      <b:Author>
        <b:Corporate>Oregon Department of Transportation </b:Corporate>
      </b:Author>
    </b:Author>
    <b:Title>Oregon Bicycle and Pedestrian Design Guidelines</b:Title>
    <b:InternetSiteTitle>Bicycle and Pedestrian Program</b:InternetSiteTitle>
    <b:Year>2014</b:Year>
    <b:Month>June</b:Month>
    <b:Day>11</b:Day>
    <b:YearAccessed>2014</b:YearAccessed>
    <b:MonthAccessed>June</b:MonthAccessed>
    <b:DayAccessed>11</b:DayAccessed>
    <b:URL>http://www.oregon.gov/ODOT/HWY/BIKEPED/Pages/planproc.aspx</b:URL>
    <b:RefOrder>5</b:RefOrder>
  </b:Source>
  <b:Source>
    <b:Tag>Ore142</b:Tag>
    <b:SourceType>InternetSite</b:SourceType>
    <b:Guid>{A2BA3700-0236-424D-A760-ED575C8764D1}</b:Guid>
    <b:Author>
      <b:Author>
        <b:Corporate>Oregon Department of Transportation</b:Corporate>
      </b:Author>
    </b:Author>
    <b:Title>Administrative Rules</b:Title>
    <b:InternetSiteTitle>ODOT Access Management</b:InternetSiteTitle>
    <b:Year>2014</b:Year>
    <b:Month>June</b:Month>
    <b:Day>11</b:Day>
    <b:YearAccessed>2014</b:YearAccessed>
    <b:MonthAccessed>June</b:MonthAccessed>
    <b:DayAccessed>11</b:DayAccessed>
    <b:URL>http://www.oregon.gov/ODOT/HWY/ACCESSMGT/pages/technicalbulletins.aspx</b:URL>
    <b:RefOrder>6</b:RefOrder>
  </b:Source>
  <b:Source>
    <b:Tag>Cla14</b:Tag>
    <b:SourceType>InternetSite</b:SourceType>
    <b:Guid>{FFDFC543-B5AA-4C2B-9081-93D5C6EEC6DE}</b:Guid>
    <b:Author>
      <b:Author>
        <b:Corporate>Clackamas County</b:Corporate>
      </b:Author>
    </b:Author>
    <b:Title>Comprehensive Plan</b:Title>
    <b:InternetSiteTitle>Clackamas County</b:InternetSiteTitle>
    <b:Year>2014</b:Year>
    <b:Month>June </b:Month>
    <b:Day>11</b:Day>
    <b:YearAccessed>2014</b:YearAccessed>
    <b:MonthAccessed>June</b:MonthAccessed>
    <b:DayAccessed>11</b:DayAccessed>
    <b:URL>http://www.clackamas.us/planning/documents/compplan/Chapter%205%20Transportation.pdf</b:URL>
    <b:RefOrder>7</b:RefOrder>
  </b:Source>
  <b:Source>
    <b:Tag>Tri14</b:Tag>
    <b:SourceType>InternetSite</b:SourceType>
    <b:Guid>{08E25C44-2EAF-49DE-A5D1-E89E91A366A2}</b:Guid>
    <b:Author>
      <b:Author>
        <b:Corporate>TriMet</b:Corporate>
      </b:Author>
    </b:Author>
    <b:Title>TriMet Transit Investment Plan</b:Title>
    <b:InternetSiteTitle>TriMet</b:InternetSiteTitle>
    <b:Year>2014</b:Year>
    <b:Month>June</b:Month>
    <b:Day>11</b:Day>
    <b:YearAccessed>2014</b:YearAccessed>
    <b:MonthAccessed>June</b:MonthAccessed>
    <b:DayAccessed>11</b:DayAccessed>
    <b:URL>http://trimet.org/pdfs/tip/tip.pdf</b:URL>
    <b:RefOrder>8</b:RefOrder>
  </b:Source>
  <b:Source>
    <b:Tag>Tri12</b:Tag>
    <b:SourceType>InternetSite</b:SourceType>
    <b:Guid>{CCB7C457-E089-42CC-8A09-0BCBD364BE5B}</b:Guid>
    <b:Author>
      <b:Author>
        <b:Corporate>TriMet</b:Corporate>
      </b:Author>
    </b:Author>
    <b:Title>Coordinated Transportation Plan for Elderly and Persons with Disabilities</b:Title>
    <b:InternetSiteTitle>TriMet</b:InternetSiteTitle>
    <b:Year>2012</b:Year>
    <b:Month>October</b:Month>
    <b:YearAccessed>2014</b:YearAccessed>
    <b:MonthAccessed>June</b:MonthAccessed>
    <b:DayAccessed>11</b:DayAccessed>
    <b:URL>http://trimet.org/pdfs/publications/elderly-and-disabled-plan.pdf</b:URL>
    <b:RefOrder>9</b:RefOrder>
  </b:Source>
  <b:Source>
    <b:Tag>Tri11</b:Tag>
    <b:SourceType>InternetSite</b:SourceType>
    <b:Guid>{C35DC703-0936-4598-889E-0DE4F08B5A09}</b:Guid>
    <b:Author>
      <b:Author>
        <b:Corporate>TriMet</b:Corporate>
      </b:Author>
    </b:Author>
    <b:Title>Pedestrian Network Analysis Project</b:Title>
    <b:InternetSiteTitle>TriMet</b:InternetSiteTitle>
    <b:Year>2011</b:Year>
    <b:Month>September</b:Month>
    <b:YearAccessed>2014</b:YearAccessed>
    <b:MonthAccessed>June</b:MonthAccessed>
    <b:DayAccessed>11</b:DayAccessed>
    <b:URL>http://trimet.org/projects/pedestrian-network.htm</b:URL>
    <b:RefOrder>10</b:RefOrder>
  </b:Source>
  <b:Source>
    <b:Tag>Met14</b:Tag>
    <b:SourceType>InternetSite</b:SourceType>
    <b:Guid>{2BCEA769-03DA-4860-9BBF-3E619CB7E099}</b:Guid>
    <b:Author>
      <b:Author>
        <b:Corporate>Metro</b:Corporate>
      </b:Author>
    </b:Author>
    <b:Title>Climate Smart Communities Scenarios Project</b:Title>
    <b:InternetSiteTitle>Metro</b:InternetSiteTitle>
    <b:Year>2014</b:Year>
    <b:YearAccessed>2014 </b:YearAccessed>
    <b:MonthAccessed>June</b:MonthAccessed>
    <b:DayAccessed>11</b:DayAccessed>
    <b:URL>http://www.oregonmetro.gov/public-projects/climate-smart-communities-scenarios/project-library</b:URL>
    <b:RefOrder>11</b:RefOrder>
  </b:Source>
  <b:Source>
    <b:Tag>Met10</b:Tag>
    <b:SourceType>InternetSite</b:SourceType>
    <b:Guid>{8893F791-2019-4202-8561-2F904C0494AB}</b:Guid>
    <b:Author>
      <b:Author>
        <b:Corporate>Metro</b:Corporate>
      </b:Author>
    </b:Author>
    <b:Title>Metro Regional Transportation Plan</b:Title>
    <b:InternetSiteTitle>Metro</b:InternetSiteTitle>
    <b:Year>2010</b:Year>
    <b:Month>September</b:Month>
    <b:Day>8</b:Day>
    <b:YearAccessed>2014</b:YearAccessed>
    <b:MonthAccessed>June</b:MonthAccessed>
    <b:DayAccessed>11</b:DayAccessed>
    <b:URL>http://library.oregonmetro.gov/files//appendix_23_rtfp.pdf</b:URL>
    <b:RefOrder>12</b:RefOrder>
  </b:Source>
  <b:Source>
    <b:Tag>Cit08</b:Tag>
    <b:SourceType>InternetSite</b:SourceType>
    <b:Guid>{A0FF4894-4E2B-4957-B480-E0D01EC337FD}</b:Guid>
    <b:Author>
      <b:Author>
        <b:Corporate>City of West Linn</b:Corporate>
      </b:Author>
    </b:Author>
    <b:Title>Comprehensive Plan and Neighborhood Plans</b:Title>
    <b:InternetSiteTitle>City of West Linn</b:InternetSiteTitle>
    <b:Year>2008</b:Year>
    <b:Month>December</b:Month>
    <b:YearAccessed>2014</b:YearAccessed>
    <b:MonthAccessed>June</b:MonthAccessed>
    <b:DayAccessed>11</b:DayAccessed>
    <b:URL>http://westlinnoregon.gov/sites/default/files/fileattachments/planning/page/6526/web20version20revised20april20200920with20maps.pdf</b:URL>
    <b:RefOrder>13</b:RefOrder>
  </b:Source>
  <b:Source>
    <b:Tag>Cit081</b:Tag>
    <b:SourceType>DocumentFromInternetSite</b:SourceType>
    <b:Guid>{2A1F9B55-7419-4BAC-9DB7-F0666A5C4E7D}</b:Guid>
    <b:Title>Transportation System Plan</b:Title>
    <b:InternetSiteTitle>City of West Linn</b:InternetSiteTitle>
    <b:Year>2008</b:Year>
    <b:Month>December</b:Month>
    <b:YearAccessed>2014</b:YearAccessed>
    <b:MonthAccessed>June</b:MonthAccessed>
    <b:DayAccessed>11</b:DayAccessed>
    <b:URL>http://westlinnoregon.gov/sites/default/files/fileattachments/public_works/page/5402/post_1_transportation_system_plan_2008.pdf</b:URL>
    <b:Author>
      <b:Author>
        <b:Corporate>City of West Linn</b:Corporate>
      </b:Author>
    </b:Author>
    <b:RefOrder>14</b:RefOrder>
  </b:Source>
  <b:Source>
    <b:Tag>Cit14</b:Tag>
    <b:SourceType>DocumentFromInternetSite</b:SourceType>
    <b:Guid>{8816BFE2-B72C-430A-BDBA-8EE04D852AF9}</b:Guid>
    <b:Author>
      <b:Author>
        <b:Corporate>City of West Linn</b:Corporate>
      </b:Author>
    </b:Author>
    <b:Title>Capital Improvement Plan</b:Title>
    <b:InternetSiteTitle>City of West Linn</b:InternetSiteTitle>
    <b:Year>2014</b:Year>
    <b:YearAccessed>2014</b:YearAccessed>
    <b:MonthAccessed>June</b:MonthAccessed>
    <b:DayAccessed>11</b:DayAccessed>
    <b:URL>http://westlinnoregon.gov/sites/default/files/fileattachments/finance/page/7208/cip_reduced_file_size_0.pdf</b:URL>
    <b:RefOrder>15</b:RefOrder>
  </b:Source>
  <b:Source>
    <b:Tag>Cit13</b:Tag>
    <b:SourceType>DocumentFromInternetSite</b:SourceType>
    <b:Guid>{E50D22C1-303F-4A8C-8980-900B453C3456}</b:Guid>
    <b:Author>
      <b:Author>
        <b:Corporate>City of West Linn</b:Corporate>
      </b:Author>
    </b:Author>
    <b:Title>City-wide Trails Master Plan</b:Title>
    <b:InternetSiteTitle>City of West Linn</b:InternetSiteTitle>
    <b:Year>2013</b:Year>
    <b:YearAccessed>2014</b:YearAccessed>
    <b:MonthAccessed>June </b:MonthAccessed>
    <b:DayAccessed>11</b:DayAccessed>
    <b:URL>http://westlinnoregon.gov/planning/city-wide-trails-master-plan</b:URL>
    <b:RefOrder>16</b:RefOrder>
  </b:Source>
  <b:Source>
    <b:Tag>Cit11</b:Tag>
    <b:SourceType>DocumentFromInternetSite</b:SourceType>
    <b:Guid>{5776743A-F407-48F5-8118-BB6412804161}</b:Guid>
    <b:Author>
      <b:Author>
        <b:Corporate>City of West Linn</b:Corporate>
      </b:Author>
    </b:Author>
    <b:Title>Pavement Management Report</b:Title>
    <b:InternetSiteTitle>City of West Linn</b:InternetSiteTitle>
    <b:Year>2011</b:Year>
    <b:Month>June</b:Month>
    <b:YearAccessed>2014</b:YearAccessed>
    <b:MonthAccessed>June</b:MonthAccessed>
    <b:DayAccessed>11</b:DayAccessed>
    <b:URL>http://westlinnoregon.gov/publicworks/pavement-management-report</b:URL>
    <b:RefOrder>17</b:RefOrder>
  </b:Source>
</b:Sources>
</file>

<file path=customXml/itemProps1.xml><?xml version="1.0" encoding="utf-8"?>
<ds:datastoreItem xmlns:ds="http://schemas.openxmlformats.org/officeDocument/2006/customXml" ds:itemID="{ADFE1CD9-CBD5-42D4-AF5B-FCDDFF055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3843</Words>
  <Characters>21910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Memorandum</vt:lpstr>
    </vt:vector>
  </TitlesOfParts>
  <Company>City of West Linn</Company>
  <LinksUpToDate>false</LinksUpToDate>
  <CharactersWithSpaces>25702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Pelz, Zach</dc:creator>
  <cp:lastModifiedBy>Zach Pelz</cp:lastModifiedBy>
  <cp:revision>3</cp:revision>
  <cp:lastPrinted>2014-06-11T22:06:00Z</cp:lastPrinted>
  <dcterms:created xsi:type="dcterms:W3CDTF">2014-12-31T22:41:00Z</dcterms:created>
  <dcterms:modified xsi:type="dcterms:W3CDTF">2014-12-31T22:46:00Z</dcterms:modified>
</cp:coreProperties>
</file>